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eastAsia="Arial"/>
          <w:b/>
          <w:sz w:val="24"/>
        </w:rPr>
        <w:t>PT. INDOWIJAYA SAKTI TEGUH</w:t>
      </w:r>
    </w:p>
    <w:p>
      <w:pPr>
        <w:jc w:val="center"/>
      </w:pPr>
      <w:r>
        <w:rPr>
          <w:rFonts w:ascii="Arial" w:hAnsi="Arial" w:eastAsia="Arial"/>
          <w:b w:val="0"/>
        </w:rPr>
        <w:t>Jl. Pangeran Jayakarta No. 121/3-4, Jakarta Pusat, 10730, Indonesia</w:t>
      </w:r>
    </w:p>
    <w:p>
      <w:pPr>
        <w:jc w:val="center"/>
      </w:pPr>
      <w:r>
        <w:rPr>
          <w:rFonts w:ascii="Arial" w:hAnsi="Arial" w:eastAsia="Arial"/>
          <w:b w:val="0"/>
        </w:rPr>
        <w:t>www.puffinpaint.com | Telp: +6221 6231 3238</w:t>
      </w:r>
    </w:p>
    <w:p>
      <w:pPr>
        <w:jc w:val="center"/>
      </w:pPr>
      <w:r>
        <w:rPr>
          <w:rFonts w:ascii="Arial" w:hAnsi="Arial" w:eastAsia="Arial"/>
          <w:b/>
          <w:sz w:val="32"/>
        </w:rPr>
        <w:t>MATERIAL SAFETY DATA SHEET</w:t>
      </w:r>
    </w:p>
    <w:p>
      <w:pPr>
        <w:jc w:val="center"/>
      </w:pPr>
      <w:r>
        <w:rPr>
          <w:rFonts w:ascii="Arial" w:hAnsi="Arial"/>
          <w:b/>
        </w:rPr>
        <w:t>PUFFIN EPOXY EVOLAC CLEAR MULTIFUNGSI BASE A</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59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Item</w:t>
            </w:r>
          </w:p>
        </w:tc>
        <w:tc>
          <w:tcPr>
            <w:tcW w:type="dxa" w:w="792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259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Code</w:t>
            </w:r>
          </w:p>
        </w:tc>
        <w:tc>
          <w:tcPr>
            <w:tcW w:type="dxa" w:w="792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PEEMFA</w:t>
            </w:r>
          </w:p>
        </w:tc>
      </w:tr>
      <w:tr>
        <w:tc>
          <w:tcPr>
            <w:tcW w:type="dxa" w:w="259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Product identity no.</w:t>
            </w:r>
          </w:p>
        </w:tc>
        <w:tc>
          <w:tcPr>
            <w:tcW w:type="dxa" w:w="792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IW-PEEMF-A</w:t>
            </w:r>
          </w:p>
        </w:tc>
      </w:tr>
      <w:tr>
        <w:tc>
          <w:tcPr>
            <w:tcW w:type="dxa" w:w="259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Published</w:t>
            </w:r>
          </w:p>
        </w:tc>
        <w:tc>
          <w:tcPr>
            <w:tcW w:type="dxa" w:w="792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August 2026</w:t>
            </w:r>
          </w:p>
        </w:tc>
      </w:tr>
      <w:tr>
        <w:tc>
          <w:tcPr>
            <w:tcW w:type="dxa" w:w="259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Edited</w:t>
            </w:r>
          </w:p>
        </w:tc>
        <w:tc>
          <w:tcPr>
            <w:tcW w:type="dxa" w:w="792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w:t>
            </w:r>
          </w:p>
        </w:tc>
      </w:tr>
      <w:tr>
        <w:tc>
          <w:tcPr>
            <w:tcW w:type="dxa" w:w="259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Distribution date</w:t>
            </w:r>
          </w:p>
        </w:tc>
        <w:tc>
          <w:tcPr>
            <w:tcW w:type="dxa" w:w="792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August 2026</w:t>
            </w:r>
          </w:p>
        </w:tc>
      </w:tr>
      <w:tr>
        <w:tc>
          <w:tcPr>
            <w:tcW w:type="dxa" w:w="259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Trade name</w:t>
            </w:r>
          </w:p>
        </w:tc>
        <w:tc>
          <w:tcPr>
            <w:tcW w:type="dxa" w:w="792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PUFFIN EPOXY EVOLAC CLEAR MULTIFUNGSI BASE A</w:t>
            </w:r>
          </w:p>
        </w:tc>
      </w:tr>
    </w:tbl>
    <w:p/>
    <w:p>
      <w:pPr>
        <w:pStyle w:val="Heading1"/>
        <w:spacing w:before="160" w:after="80"/>
      </w:pPr>
      <w:r>
        <w:t>1. IDENTIFICATION OF SUBSTANCE AND COMPANY</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331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Field</w:t>
            </w:r>
          </w:p>
        </w:tc>
        <w:tc>
          <w:tcPr>
            <w:tcW w:type="dxa" w:w="720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Identification of substance/preparation</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Epoxy Novolac</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Recommendation/use</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t>Coatings</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Supplier</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PT. Indowijaya Sakti Teguh</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Address</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Jl. Pangeran Jayakarta No. 121/3-4, Jakarta Pusat, 10730, Indonesia</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Phone</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+6221 6231 3238</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WhatsApp</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+6287873743534 (WA messages only)</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Email</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sales.support@puffinpaint.com</w:t>
            </w:r>
          </w:p>
        </w:tc>
      </w:tr>
    </w:tbl>
    <w:p/>
    <w:p>
      <w:pPr>
        <w:pStyle w:val="Heading1"/>
        <w:spacing w:before="160" w:after="80"/>
      </w:pPr>
      <w:r>
        <w:t>2. HAZARD IDENTIFICATION</w:t>
      </w:r>
    </w:p>
    <w:p>
      <w:pPr>
        <w:pStyle w:val="Heading2"/>
        <w:spacing w:before="80" w:after="40"/>
      </w:pPr>
      <w:r>
        <w:t>Classification of the substance or mixture</w:t>
      </w:r>
    </w:p>
    <w:p>
      <w:pPr>
        <w:pStyle w:val="ListBullet"/>
      </w:pPr>
      <w:r>
        <w:t>Skin corrosion/irritation — Category 2</w:t>
      </w:r>
    </w:p>
    <w:p>
      <w:pPr>
        <w:pStyle w:val="ListBullet"/>
      </w:pPr>
      <w:r>
        <w:t>Serious eye damage/eye irritation — Category 2A</w:t>
      </w:r>
    </w:p>
    <w:p>
      <w:pPr>
        <w:pStyle w:val="ListBullet"/>
      </w:pPr>
      <w:r>
        <w:t>Skin sensitisation — Category 1</w:t>
      </w:r>
    </w:p>
    <w:p>
      <w:pPr>
        <w:pStyle w:val="ListBullet"/>
      </w:pPr>
      <w:r>
        <w:t>Long-term (chronic) aquatic hazard — Category 2</w:t>
      </w:r>
    </w:p>
    <w:p>
      <w:pPr>
        <w:pStyle w:val="Heading2"/>
        <w:spacing w:before="80" w:after="40"/>
      </w:pPr>
      <w:r>
        <w:t>GHS label elements</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88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Element</w:t>
            </w:r>
          </w:p>
        </w:tc>
        <w:tc>
          <w:tcPr>
            <w:tcW w:type="dxa" w:w="763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Description</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Hazard pictograms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specified in source document</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Signal word</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Warning</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Hazard statements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Causes serious eye irritation. Causes skin irritation. May cause an allergic skin reaction. Toxic to aquatic life with long lasting effects.</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Prevention</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Wear protective gloves. Wear eye or face protection. Avoid release to the environment. Wash hands thoroughly after handling.</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Response</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Collect spillage. IF ON SKIN: Wash with plenty of soap and water. Take off contaminated clothing and wash it before reuse. If skin irritation or rash occurs: Get medical attention. IF IN EYES: Rinse cautiously with water for several minutes. Remove contact lenses if present and easy to do. Continue rinsing. If eye irritation persists: Get medical attention.</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Storage</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applicable.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Disposal</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Dispose of contents and container in accordance with all local, regional, national and international regulations.</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Other hazards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None known.</w:t>
            </w:r>
          </w:p>
        </w:tc>
      </w:tr>
    </w:tbl>
    <w:p/>
    <w:p>
      <w:pPr>
        <w:pStyle w:val="Heading1"/>
        <w:spacing w:before="160" w:after="80"/>
      </w:pPr>
      <w:r>
        <w:t>3. COMPOSITION/INFORMATION ON INGREDIENTS</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88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Property</w:t>
            </w:r>
          </w:p>
        </w:tc>
        <w:tc>
          <w:tcPr>
            <w:tcW w:type="dxa" w:w="763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Value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Substance/mixture</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Mixture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Other means of identification</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CAS number</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applicable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EC number</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Mixture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Product code</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496</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Chemical formula</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applicable</w:t>
            </w:r>
          </w:p>
        </w:tc>
      </w:tr>
    </w:tbl>
    <w:p/>
    <w:tbl>
      <w:tblPr>
        <w:tblStyle w:val="TableGrid"/>
        <w:tblW w:type="auto" w:w="0"/>
        <w:jc w:val="center"/>
        <w:tblLayout w:type="autofit"/>
        <w:tblLook w:firstColumn="1" w:firstRow="1" w:lastColumn="0" w:lastRow="0" w:noHBand="0" w:noVBand="1" w:val="04A0"/>
      </w:tblPr>
      <w:tblGrid>
        <w:gridCol w:w="3360"/>
        <w:gridCol w:w="3360"/>
        <w:gridCol w:w="3360"/>
      </w:tblGrid>
      <w:tr>
        <w:trPr>
          <w:tblHeader w:val="true"/>
        </w:trPr>
        <w:tc>
          <w:tcPr>
            <w:tcW w:type="dxa" w:w="187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CAS number</w:t>
            </w:r>
          </w:p>
        </w:tc>
        <w:tc>
          <w:tcPr>
            <w:tcW w:type="dxa" w:w="691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Ingredient name</w:t>
            </w:r>
          </w:p>
        </w:tc>
        <w:tc>
          <w:tcPr>
            <w:tcW w:type="dxa" w:w="1728"/>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w:t>
            </w:r>
          </w:p>
        </w:tc>
      </w:tr>
      <w:tr>
        <w:tc>
          <w:tcPr>
            <w:tcW w:type="dxa" w:w="3360"/>
            <w:tcMar>
              <w:top w:w="70" w:type="dxa"/>
              <w:start w:w="90" w:type="dxa"/>
              <w:bottom w:w="70" w:type="dxa"/>
              <w:end w:w="90" w:type="dxa"/>
            </w:tcMar>
            <w:vAlign w:val="center"/>
          </w:tcPr>
          <w:p>
            <w:pPr>
              <w:spacing w:after="20" w:line="240" w:lineRule="auto"/>
            </w:pPr>
            <w:r>
              <w:rPr>
                <w:rFonts w:ascii="Arial" w:hAnsi="Arial"/>
                <w:b w:val="0"/>
                <w:sz w:val="17"/>
              </w:rPr>
              <w:t>1675-54-3</w:t>
            </w:r>
          </w:p>
        </w:tc>
        <w:tc>
          <w:tcPr>
            <w:tcW w:type="dxa" w:w="3360"/>
            <w:tcMar>
              <w:top w:w="70" w:type="dxa"/>
              <w:start w:w="90" w:type="dxa"/>
              <w:bottom w:w="70" w:type="dxa"/>
              <w:end w:w="90" w:type="dxa"/>
            </w:tcMar>
            <w:vAlign w:val="center"/>
          </w:tcPr>
          <w:p>
            <w:pPr>
              <w:spacing w:after="20" w:line="240" w:lineRule="auto"/>
            </w:pPr>
            <w:r>
              <w:rPr>
                <w:rFonts w:ascii="Arial" w:hAnsi="Arial"/>
                <w:b w:val="0"/>
                <w:sz w:val="17"/>
              </w:rPr>
              <w:t>Epoxy resin (MW ≤ 700)</w:t>
            </w:r>
          </w:p>
        </w:tc>
        <w:tc>
          <w:tcPr>
            <w:tcW w:type="dxa" w:w="3360"/>
            <w:tcMar>
              <w:top w:w="70" w:type="dxa"/>
              <w:start w:w="90" w:type="dxa"/>
              <w:bottom w:w="70" w:type="dxa"/>
              <w:end w:w="90" w:type="dxa"/>
            </w:tcMar>
            <w:vAlign w:val="center"/>
          </w:tcPr>
          <w:p>
            <w:pPr>
              <w:spacing w:after="20" w:line="240" w:lineRule="auto"/>
            </w:pPr>
            <w:r>
              <w:rPr>
                <w:rFonts w:ascii="Arial" w:hAnsi="Arial"/>
                <w:b w:val="0"/>
                <w:sz w:val="17"/>
              </w:rPr>
              <w:t>≥50 – ≤75</w:t>
            </w:r>
          </w:p>
        </w:tc>
      </w:tr>
      <w:tr>
        <w:tc>
          <w:tcPr>
            <w:tcW w:type="dxa" w:w="3360"/>
            <w:tcMar>
              <w:top w:w="70" w:type="dxa"/>
              <w:start w:w="90" w:type="dxa"/>
              <w:bottom w:w="70" w:type="dxa"/>
              <w:end w:w="90" w:type="dxa"/>
            </w:tcMar>
            <w:vAlign w:val="center"/>
          </w:tcPr>
          <w:p>
            <w:pPr>
              <w:spacing w:after="20" w:line="240" w:lineRule="auto"/>
            </w:pPr>
            <w:r>
              <w:rPr>
                <w:rFonts w:ascii="Arial" w:hAnsi="Arial"/>
                <w:b w:val="0"/>
                <w:sz w:val="17"/>
              </w:rPr>
              <w:t>68609-97-2</w:t>
            </w:r>
          </w:p>
        </w:tc>
        <w:tc>
          <w:tcPr>
            <w:tcW w:type="dxa" w:w="3360"/>
            <w:tcMar>
              <w:top w:w="70" w:type="dxa"/>
              <w:start w:w="90" w:type="dxa"/>
              <w:bottom w:w="70" w:type="dxa"/>
              <w:end w:w="90" w:type="dxa"/>
            </w:tcMar>
            <w:vAlign w:val="center"/>
          </w:tcPr>
          <w:p>
            <w:pPr>
              <w:spacing w:after="20" w:line="240" w:lineRule="auto"/>
            </w:pPr>
            <w:r>
              <w:rPr>
                <w:rFonts w:ascii="Arial" w:hAnsi="Arial"/>
                <w:b w:val="0"/>
                <w:sz w:val="17"/>
              </w:rPr>
              <w:t>Oxirane, mono[(C12–14-alkyloxy)methyl] derivatives</w:t>
            </w:r>
          </w:p>
        </w:tc>
        <w:tc>
          <w:tcPr>
            <w:tcW w:type="dxa" w:w="3360"/>
            <w:tcMar>
              <w:top w:w="70" w:type="dxa"/>
              <w:start w:w="90" w:type="dxa"/>
              <w:bottom w:w="70" w:type="dxa"/>
              <w:end w:w="90" w:type="dxa"/>
            </w:tcMar>
            <w:vAlign w:val="center"/>
          </w:tcPr>
          <w:p>
            <w:pPr>
              <w:spacing w:after="20" w:line="240" w:lineRule="auto"/>
            </w:pPr>
            <w:r>
              <w:rPr>
                <w:rFonts w:ascii="Arial" w:hAnsi="Arial"/>
                <w:b w:val="0"/>
                <w:sz w:val="17"/>
              </w:rPr>
              <w:t>≥10 – ≤25</w:t>
            </w:r>
          </w:p>
        </w:tc>
      </w:tr>
      <w:tr>
        <w:tc>
          <w:tcPr>
            <w:tcW w:type="dxa" w:w="3360"/>
            <w:tcMar>
              <w:top w:w="70" w:type="dxa"/>
              <w:start w:w="90" w:type="dxa"/>
              <w:bottom w:w="70" w:type="dxa"/>
              <w:end w:w="90" w:type="dxa"/>
            </w:tcMar>
            <w:vAlign w:val="center"/>
          </w:tcPr>
          <w:p>
            <w:pPr>
              <w:spacing w:after="20" w:line="240" w:lineRule="auto"/>
            </w:pPr>
            <w:r>
              <w:rPr>
                <w:rFonts w:ascii="Arial" w:hAnsi="Arial"/>
                <w:b w:val="0"/>
                <w:sz w:val="17"/>
              </w:rPr>
              <w:t>68475-94-5</w:t>
            </w:r>
          </w:p>
        </w:tc>
        <w:tc>
          <w:tcPr>
            <w:tcW w:type="dxa" w:w="3360"/>
            <w:tcMar>
              <w:top w:w="70" w:type="dxa"/>
              <w:start w:w="90" w:type="dxa"/>
              <w:bottom w:w="70" w:type="dxa"/>
              <w:end w:w="90" w:type="dxa"/>
            </w:tcMar>
            <w:vAlign w:val="center"/>
          </w:tcPr>
          <w:p>
            <w:pPr>
              <w:spacing w:after="20" w:line="240" w:lineRule="auto"/>
            </w:pPr>
            <w:r>
              <w:rPr>
                <w:rFonts w:ascii="Arial" w:hAnsi="Arial"/>
                <w:b w:val="0"/>
                <w:sz w:val="17"/>
              </w:rPr>
              <w:t>Fatty acids, C18-unsaturated, dimers, oligomeric reaction products with 1-chloro-2,3-epoxypropane</w:t>
            </w:r>
          </w:p>
        </w:tc>
        <w:tc>
          <w:tcPr>
            <w:tcW w:type="dxa" w:w="3360"/>
            <w:tcMar>
              <w:top w:w="70" w:type="dxa"/>
              <w:start w:w="90" w:type="dxa"/>
              <w:bottom w:w="70" w:type="dxa"/>
              <w:end w:w="90" w:type="dxa"/>
            </w:tcMar>
            <w:vAlign w:val="center"/>
          </w:tcPr>
          <w:p>
            <w:pPr>
              <w:spacing w:after="20" w:line="240" w:lineRule="auto"/>
            </w:pPr>
            <w:r>
              <w:rPr>
                <w:rFonts w:ascii="Arial" w:hAnsi="Arial"/>
                <w:b w:val="0"/>
                <w:sz w:val="17"/>
              </w:rPr>
              <w:t>≤3</w:t>
            </w:r>
          </w:p>
        </w:tc>
      </w:tr>
      <w:tr>
        <w:tc>
          <w:tcPr>
            <w:tcW w:type="dxa" w:w="3360"/>
            <w:tcMar>
              <w:top w:w="70" w:type="dxa"/>
              <w:start w:w="90" w:type="dxa"/>
              <w:bottom w:w="70" w:type="dxa"/>
              <w:end w:w="90" w:type="dxa"/>
            </w:tcMar>
            <w:vAlign w:val="center"/>
          </w:tcPr>
          <w:p>
            <w:pPr>
              <w:spacing w:after="20" w:line="240" w:lineRule="auto"/>
            </w:pPr>
            <w:r>
              <w:rPr>
                <w:rFonts w:ascii="Arial" w:hAnsi="Arial"/>
                <w:b w:val="0"/>
                <w:sz w:val="17"/>
              </w:rPr>
              <w:t>9072-62-2</w:t>
            </w:r>
          </w:p>
        </w:tc>
        <w:tc>
          <w:tcPr>
            <w:tcW w:type="dxa" w:w="3360"/>
            <w:tcMar>
              <w:top w:w="70" w:type="dxa"/>
              <w:start w:w="90" w:type="dxa"/>
              <w:bottom w:w="70" w:type="dxa"/>
              <w:end w:w="90" w:type="dxa"/>
            </w:tcMar>
            <w:vAlign w:val="center"/>
          </w:tcPr>
          <w:p>
            <w:pPr>
              <w:spacing w:after="20" w:line="240" w:lineRule="auto"/>
            </w:pPr>
            <w:r>
              <w:rPr>
                <w:rFonts w:ascii="Arial" w:hAnsi="Arial"/>
                <w:b w:val="0"/>
                <w:sz w:val="17"/>
              </w:rPr>
              <w:t>Oxirane, 2-(chloromethyl)-, polymer with α-hydro-ω-hydroxy-poly[oxy(methyl-1,2-ethanediyl)]</w:t>
            </w:r>
          </w:p>
        </w:tc>
        <w:tc>
          <w:tcPr>
            <w:tcW w:type="dxa" w:w="3360"/>
            <w:tcMar>
              <w:top w:w="70" w:type="dxa"/>
              <w:start w:w="90" w:type="dxa"/>
              <w:bottom w:w="70" w:type="dxa"/>
              <w:end w:w="90" w:type="dxa"/>
            </w:tcMar>
            <w:vAlign w:val="center"/>
          </w:tcPr>
          <w:p>
            <w:pPr>
              <w:spacing w:after="20" w:line="240" w:lineRule="auto"/>
            </w:pPr>
            <w:r>
              <w:rPr>
                <w:rFonts w:ascii="Arial" w:hAnsi="Arial"/>
                <w:b w:val="0"/>
                <w:sz w:val="17"/>
              </w:rPr>
              <w:t>≤3</w:t>
            </w:r>
          </w:p>
        </w:tc>
      </w:tr>
    </w:tbl>
    <w:p/>
    <w:p>
      <w:r>
        <w:rPr>
          <w:rFonts w:ascii="Arial" w:hAnsi="Arial" w:eastAsia="Arial"/>
          <w:b w:val="0"/>
        </w:rPr>
        <w:t>There are no additional ingredients present which, within the current knowledge of the supplier and in the concentrations applicable, are classified as hazardous to health or the environment and hence require reporting in this section. Occupational exposure limits, if available, are listed in Section 8.</w:t>
      </w:r>
    </w:p>
    <w:p>
      <w:pPr>
        <w:pStyle w:val="Heading1"/>
        <w:spacing w:before="160" w:after="80"/>
      </w:pPr>
      <w:r>
        <w:t>4. FIRST AID MEASURES</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16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Route</w:t>
            </w:r>
          </w:p>
        </w:tc>
        <w:tc>
          <w:tcPr>
            <w:tcW w:type="dxa" w:w="835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Measures</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Eye contact</w:t>
            </w:r>
          </w:p>
        </w:tc>
        <w:tc>
          <w:tcPr>
            <w:tcW w:type="dxa" w:w="835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Immediately flush eyes with plenty of water, occasionally lifting upper and lower eyelids. Check for and remove contact lenses. Continue rinsing for at least 10 minutes. Get medical attention.</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Inhalation</w:t>
            </w:r>
          </w:p>
        </w:tc>
        <w:tc>
          <w:tcPr>
            <w:tcW w:type="dxa" w:w="835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Remove victim to fresh air and keep at rest in a position comfortable for breathing. If breathing is irregular or stopped, trained personnel should provide artificial respiration or oxygen. Get medical attention if adverse effects persist or are severe. If unconscious, place in recovery position and get medical attention immediately.</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Skin contact</w:t>
            </w:r>
          </w:p>
        </w:tc>
        <w:tc>
          <w:tcPr>
            <w:tcW w:type="dxa" w:w="835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Wash with plenty of soap and water. Remove contaminated clothing and shoes. Continue rinsing for at least 10 minutes. Get medical attention. Wash clothing before reuse and clean shoes thoroughly before reuse.</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Ingestion</w:t>
            </w:r>
          </w:p>
        </w:tc>
        <w:tc>
          <w:tcPr>
            <w:tcW w:type="dxa" w:w="835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Wash out mouth with water. Move victim to fresh air and keep at rest. If swallowed and conscious, give small quantities of water. Do not induce vomiting unless directed by medical personnel. Get medical attention if effects persist or are severe. Never give anything by mouth to an unconscious person.</w:t>
            </w:r>
          </w:p>
        </w:tc>
      </w:tr>
    </w:tbl>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88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Topic</w:t>
            </w:r>
          </w:p>
        </w:tc>
        <w:tc>
          <w:tcPr>
            <w:tcW w:type="dxa" w:w="763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Potential acute health effects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Eye: causes serious eye irritation. Inhalation: no known significant effects or critical hazards. Skin: causes skin irritation and may cause an allergic skin reaction. Ingestion: no known significant effects or critical hazards.</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Over-exposure signs/symptoms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Eye: pain or irritation, watering, redness. Skin: irritation and redness. Inhalation/ingestion: no specific data.</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Notes to physician</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Symptoms from inhalation of decomposition products in a fire may be delayed. Medical surveillance for 48 hours may be needed.</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Specific treatments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 specific treatment.</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Protection of first-aiders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 action shall be taken involving personal risk or without suitable training. Mouth-to-mouth resuscitation may be dangerous.</w:t>
            </w:r>
          </w:p>
        </w:tc>
      </w:tr>
    </w:tbl>
    <w:p/>
    <w:p>
      <w:pPr>
        <w:pStyle w:val="Heading1"/>
        <w:spacing w:before="160" w:after="80"/>
      </w:pPr>
      <w:r>
        <w:t>5. FIRE FIGHTING MEASURES</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3024"/>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Item</w:t>
            </w:r>
          </w:p>
        </w:tc>
        <w:tc>
          <w:tcPr>
            <w:tcW w:type="dxa" w:w="7488"/>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302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Suitable extinguishing media</w:t>
            </w:r>
          </w:p>
        </w:tc>
        <w:tc>
          <w:tcPr>
            <w:tcW w:type="dxa" w:w="748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Use an extinguishing agent suitable for the surrounding fire.</w:t>
            </w:r>
          </w:p>
        </w:tc>
      </w:tr>
      <w:tr>
        <w:tc>
          <w:tcPr>
            <w:tcW w:type="dxa" w:w="302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Unsuitable extinguishing media</w:t>
            </w:r>
          </w:p>
        </w:tc>
        <w:tc>
          <w:tcPr>
            <w:tcW w:type="dxa" w:w="748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None known.</w:t>
            </w:r>
          </w:p>
        </w:tc>
      </w:tr>
      <w:tr>
        <w:tc>
          <w:tcPr>
            <w:tcW w:type="dxa" w:w="302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Specific hazards</w:t>
            </w:r>
          </w:p>
        </w:tc>
        <w:tc>
          <w:tcPr>
            <w:tcW w:type="dxa" w:w="748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In a fire or if heated, pressure increase will occur and the container may burst. This material is toxic to aquatic life with long lasting effects. Contaminated fire water must be contained and prevented from discharge to waterways, sewers or drains.</w:t>
            </w:r>
          </w:p>
        </w:tc>
      </w:tr>
      <w:tr>
        <w:tc>
          <w:tcPr>
            <w:tcW w:type="dxa" w:w="302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Hazardous thermal decomposition products</w:t>
            </w:r>
          </w:p>
        </w:tc>
        <w:tc>
          <w:tcPr>
            <w:tcW w:type="dxa" w:w="748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Carbon dioxide, carbon monoxide, nitrogen oxides, sulfur oxides, halogenated compounds, carbonyl halides and metal oxide/oxides.</w:t>
            </w:r>
          </w:p>
        </w:tc>
      </w:tr>
      <w:tr>
        <w:tc>
          <w:tcPr>
            <w:tcW w:type="dxa" w:w="302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Special protective equipment</w:t>
            </w:r>
          </w:p>
        </w:tc>
        <w:tc>
          <w:tcPr>
            <w:tcW w:type="dxa" w:w="748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Fire-fighters should wear appropriate protective equipment and SCBA with full face-piece operated in positive pressure mode.</w:t>
            </w:r>
          </w:p>
        </w:tc>
      </w:tr>
    </w:tbl>
    <w:p/>
    <w:p>
      <w:pPr>
        <w:pStyle w:val="Heading1"/>
        <w:spacing w:before="160" w:after="80"/>
      </w:pPr>
      <w:r>
        <w:t>6. ACCIDENTAL RELEASE MEASURES</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88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Item</w:t>
            </w:r>
          </w:p>
        </w:tc>
        <w:tc>
          <w:tcPr>
            <w:tcW w:type="dxa" w:w="763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Personal precautions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Evacuate surrounding areas. Keep unnecessary and unprotected personnel away. Do not touch or walk through spilt material. Avoid breathing vapour or mist. Provide adequate ventilation and wear appropriate PPE/respirator when needed.</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Emergency responders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If specialised clothing is required, refer to Section 8 information on suitable and unsuitable materials.</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Environmental precautions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Avoid dispersal of spilt material and runoff and contact with soil, waterways, drains and sewers. Inform relevant authorities if environmental pollution occurs. Collect spillage.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Small spill</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Stop leak if without risk. Move containers from spill area. Absorb with inert dry material and place in an appropriate waste disposal container. Dispose of via a licensed waste disposal contractor.</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Large spill</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Stop leak if without risk. Approach from upwind. Prevent entry into sewers, watercourses, basements or confined areas. Contain and collect spillage with non-combustible absorbent material such as sand, earth, vermiculite or diatomaceous earth.</w:t>
            </w:r>
          </w:p>
        </w:tc>
      </w:tr>
    </w:tbl>
    <w:p/>
    <w:p>
      <w:pPr>
        <w:pStyle w:val="Heading1"/>
        <w:spacing w:before="160" w:after="80"/>
      </w:pPr>
      <w:r>
        <w:t>7. HANDLING AND STORAGE</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88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Item</w:t>
            </w:r>
          </w:p>
        </w:tc>
        <w:tc>
          <w:tcPr>
            <w:tcW w:type="dxa" w:w="763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Safe handling</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Wear appropriate PPE. Avoid eye/skin/clothing contact. Do not ingest. Avoid breathing vapour or mist. Avoid release to the environment. Keep container tightly closed when not in use. Empty containers retain residue and can be hazardous; do not reuse container.</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Occupational hygiene</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Eating, drinking and smoking should be prohibited where this material is handled, stored and processed. Wash hands and face before eating, drinking and smoking. Remove contaminated clothing and PPE before entering eating areas.</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Safe storage</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Store in original container protected from direct sunlight in a dry, cool and well-ventilated area, away from incompatible materials, food and drink. Keep container tightly closed and sealed until ready for use. Reseal opened containers and keep upright.</w:t>
            </w:r>
          </w:p>
        </w:tc>
      </w:tr>
    </w:tbl>
    <w:p/>
    <w:p>
      <w:pPr>
        <w:pStyle w:val="Heading1"/>
        <w:spacing w:before="160" w:after="80"/>
      </w:pPr>
      <w:r>
        <w:t>8. EXPOSURE CONTROLS / PERSONAL PROTECTION</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288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Item</w:t>
            </w:r>
          </w:p>
        </w:tc>
        <w:tc>
          <w:tcPr>
            <w:tcW w:type="dxa" w:w="763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Occupational exposure limits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None.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Engineering controls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Good general ventilation should be sufficient to control worker exposure to airborne contaminants.</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Hygiene measures</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Wash hands, forearms and face thoroughly after handling. Wash contaminated clothing before reuse. Ensure eyewash stations and safety showers are close to the workstation.</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Eye/face protection</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Use safety eyewear complying with EN 166 when indicated by risk assessment. Chemical splash goggles are recommended if contact is possible.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Hand protection</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Wear suitable gloves tested to EN 374. Recommended gloves (breakthrough time &gt;8 hours): PVC, fluor rubber, Viton®, PE, butyl rubber, nitrile rubber or neoprene.</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Body/skin protection</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Select PPE, footwear and additional skin protection based on the task and risks involved.</w:t>
            </w:r>
          </w:p>
        </w:tc>
      </w:tr>
      <w:tr>
        <w:tc>
          <w:tcPr>
            <w:tcW w:type="dxa" w:w="288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Respiratory protection</w:t>
            </w:r>
          </w:p>
        </w:tc>
        <w:tc>
          <w:tcPr>
            <w:tcW w:type="dxa" w:w="763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Select an appropriate respirator based on hazard and exposure potential, and use according to a respiratory protection program.</w:t>
            </w:r>
          </w:p>
        </w:tc>
      </w:tr>
    </w:tbl>
    <w:p/>
    <w:p>
      <w:pPr>
        <w:pStyle w:val="Heading1"/>
        <w:spacing w:before="160" w:after="80"/>
      </w:pPr>
      <w:r>
        <w:t>9. PHYSICAL AND CHEMICAL PROPERTIES</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3456"/>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Property</w:t>
            </w:r>
          </w:p>
        </w:tc>
        <w:tc>
          <w:tcPr>
            <w:tcW w:type="dxa" w:w="7056"/>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Value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Appearance / physical state</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Liquid</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Colour</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Various colours</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Odour</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Characteristic</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Odour threshold</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pH</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applicable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Melting/freezing point</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applicable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Boiling point</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Lowest known value: &gt;260°C (&gt;500°F) (epoxy resin, MW ≤700)</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Flash point</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Closed cup: 100°C (212°F)</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Evaporation rate</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Flammability</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applicable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Vapour pressure</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Highest known value: 0 kPa (0 mm Hg) at 20°C; weighted average 0 kPa at 20°C</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Vapour density</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Highest known value: 11.7 (Air = 1) (epoxy resin, MW ≤700)</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Relative density</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1.17 to 1.392 g/cm³</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Solubility</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Insoluble in cold water and hot water</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Partition coefficient: n-octanol/water</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Auto-ignition temperature</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Decomposition temperature</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SADT</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34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Viscosity</w:t>
            </w:r>
          </w:p>
        </w:tc>
        <w:tc>
          <w:tcPr>
            <w:tcW w:type="dxa" w:w="705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Dynamic: highest known value 10 to 12 cP (epoxy resin, MW ≤700); weighted average 10.13 cP. Kinematic (40°C): &gt;20.5 cSt</w:t>
            </w:r>
          </w:p>
        </w:tc>
      </w:tr>
    </w:tbl>
    <w:p/>
    <w:p>
      <w:pPr>
        <w:pStyle w:val="Heading1"/>
        <w:spacing w:before="160" w:after="80"/>
      </w:pPr>
      <w:r>
        <w:t>10. STABILITY AND REACTIVITY</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3312"/>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Item</w:t>
            </w:r>
          </w:p>
        </w:tc>
        <w:tc>
          <w:tcPr>
            <w:tcW w:type="dxa" w:w="720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Reactivity</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 specific test data related to reactivity available for this product or its ingredients.</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Chemical stability</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The product is stable.</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Possibility of hazardous reactions</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Under normal conditions of storage and use, hazardous reactions will not occur.</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Conditions to avoid</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 specific data.</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Incompatible materials</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Keep away from oxidising agents, strong alkalis and strong acids to prevent strong exothermic reactions.</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Hazardous decomposition products</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Under normal storage and use, hazardous decomposition products should not be produced.</w:t>
            </w:r>
          </w:p>
        </w:tc>
      </w:tr>
      <w:tr>
        <w:tc>
          <w:tcPr>
            <w:tcW w:type="dxa" w:w="3312"/>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SADT</w:t>
            </w:r>
          </w:p>
        </w:tc>
        <w:tc>
          <w:tcPr>
            <w:tcW w:type="dxa" w:w="720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bl>
    <w:p/>
    <w:p>
      <w:pPr>
        <w:pStyle w:val="Heading1"/>
        <w:spacing w:before="160" w:after="80"/>
      </w:pPr>
      <w:r>
        <w:t>11. TOXICOLOGICAL INFORMATION</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3168"/>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Topic</w:t>
            </w:r>
          </w:p>
        </w:tc>
        <w:tc>
          <w:tcPr>
            <w:tcW w:type="dxa" w:w="7344"/>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Acute toxicity</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Epoxy resin (MW ≤700): LD50 dermal rabbit 20 g/kg; LD50 oral mouse 15600 mg/kg; LD50 oral rat 17100 mg/kg.</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Irritation/corrosion</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Epoxy resin (MW ≤700): severe eye irritant and mild to moderate skin irritant. Other listed components may cause mild skin and/or eye irritation.</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Sensitisation</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Listed epoxy resin and related components are skin sensitising.</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Mutagenicity / carcinogenicity / reproductive toxicity / teratogenicity</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 no known significant effects or critical hazards where stated.</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STOT / aspiration hazard</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Potential acute effects</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Eye: causes serious eye irritation. Skin: causes irritation and may cause allergic skin reaction. Inhalation/ingestion: no known significant effects or critical hazards.</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Chronic effects</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Once sensitised, a severe allergic reaction may occur when subsequently exposed to very low levels.</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Acute toxicity estimates</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available.</w:t>
            </w:r>
          </w:p>
        </w:tc>
      </w:tr>
    </w:tbl>
    <w:p/>
    <w:p>
      <w:pPr>
        <w:pStyle w:val="Heading1"/>
        <w:spacing w:before="160" w:after="80"/>
      </w:pPr>
      <w:r>
        <w:t>12. ECOLOGICAL INFORMATION</w:t>
      </w:r>
    </w:p>
    <w:tbl>
      <w:tblPr>
        <w:tblStyle w:val="TableGrid"/>
        <w:tblW w:type="auto" w:w="0"/>
        <w:jc w:val="center"/>
        <w:tblLayout w:type="autofit"/>
        <w:tblLook w:firstColumn="1" w:firstRow="1" w:lastColumn="0" w:lastRow="0" w:noHBand="0" w:noVBand="1" w:val="04A0"/>
      </w:tblPr>
      <w:tblGrid>
        <w:gridCol w:w="5040"/>
        <w:gridCol w:w="5040"/>
      </w:tblGrid>
      <w:tr>
        <w:trPr>
          <w:tblHeader w:val="true"/>
        </w:trPr>
        <w:tc>
          <w:tcPr>
            <w:tcW w:type="dxa" w:w="3168"/>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Topic</w:t>
            </w:r>
          </w:p>
        </w:tc>
        <w:tc>
          <w:tcPr>
            <w:tcW w:type="dxa" w:w="7344"/>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Information</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Toxicity</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Epoxy resin (MW ≤700): Acute EC50 1.4 mg/L, Daphnia, 48 hours; Acute LC50 3.1 mg/L, fish (Pimephales promelas), 96 hours; Chronic NOEC 0.3 mg/L, fish, 21 days.</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Persistence/degradability</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Epoxy resin (MW ≤700): readily biodegradable; aquatic half-life and photolysis not specified.</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Bioaccumulative potential</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Epoxy resin (MW ≤700): LogPow 2.64 to 3.78; BCF 31; potential low. Oxirane mono[(C12-14-alkyloxy)methyl] derivs: LogPow 3.77; BCF 160 to 263; potential low.</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Mobility in soil</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Soil/water partition coefficient (KOC): not available.</w:t>
            </w:r>
          </w:p>
        </w:tc>
      </w:tr>
      <w:tr>
        <w:tc>
          <w:tcPr>
            <w:tcW w:type="dxa" w:w="3168"/>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Other adverse effects</w:t>
            </w:r>
          </w:p>
        </w:tc>
        <w:tc>
          <w:tcPr>
            <w:tcW w:type="dxa" w:w="7344"/>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 known significant effects or critical hazards.</w:t>
            </w:r>
          </w:p>
        </w:tc>
      </w:tr>
    </w:tbl>
    <w:p/>
    <w:p>
      <w:pPr>
        <w:pStyle w:val="Heading1"/>
        <w:spacing w:before="160" w:after="80"/>
      </w:pPr>
      <w:r>
        <w:t>13. DISPOSAL CONSIDERATIONS</w:t>
      </w:r>
    </w:p>
    <w:p>
      <w:r>
        <w:rPr>
          <w:rFonts w:ascii="Arial" w:hAnsi="Arial" w:eastAsia="Arial"/>
          <w:b w:val="0"/>
        </w:rPr>
        <w:t>The generation of waste should be avoided or minimised wherever possible. Disposal of this product, solutions and by-products must comply with environmental protection and waste disposal legislation and regional/local authority requirements. Dispose of surplus and non-recyclable products via a licensed waste disposal contractor. Do not dispose of untreated waste to sewer unless fully compliant with authority requirements. Waste packaging should be recycled where feasible. This material and/or container must be disposed of as hazardous waste.</w:t>
      </w:r>
    </w:p>
    <w:p>
      <w:pPr>
        <w:pStyle w:val="Heading1"/>
        <w:spacing w:before="160" w:after="80"/>
      </w:pPr>
      <w:r>
        <w:t>14. TRANSPORT INFORMATION</w:t>
      </w:r>
    </w:p>
    <w:tbl>
      <w:tblPr>
        <w:tblStyle w:val="TableGrid"/>
        <w:tblW w:type="auto" w:w="0"/>
        <w:jc w:val="center"/>
        <w:tblLayout w:type="autofit"/>
        <w:tblLook w:firstColumn="1" w:firstRow="1" w:lastColumn="0" w:lastRow="0" w:noHBand="0" w:noVBand="1" w:val="04A0"/>
      </w:tblPr>
      <w:tblGrid>
        <w:gridCol w:w="2520"/>
        <w:gridCol w:w="2520"/>
        <w:gridCol w:w="2520"/>
        <w:gridCol w:w="2520"/>
      </w:tblGrid>
      <w:tr>
        <w:trPr>
          <w:tblHeader w:val="true"/>
        </w:trPr>
        <w:tc>
          <w:tcPr>
            <w:tcW w:type="dxa" w:w="2160"/>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Item</w:t>
            </w:r>
          </w:p>
        </w:tc>
        <w:tc>
          <w:tcPr>
            <w:tcW w:type="dxa" w:w="2736"/>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UN</w:t>
            </w:r>
          </w:p>
        </w:tc>
        <w:tc>
          <w:tcPr>
            <w:tcW w:type="dxa" w:w="2736"/>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IMDG</w:t>
            </w:r>
          </w:p>
        </w:tc>
        <w:tc>
          <w:tcPr>
            <w:tcW w:type="dxa" w:w="2736"/>
            <w:shd w:fill="D9EAF7"/>
            <w:tcMar>
              <w:top w:w="70" w:type="dxa"/>
              <w:left w:w="80" w:type="dxa"/>
              <w:bottom w:w="70" w:type="dxa"/>
              <w:right w:w="80" w:type="dxa"/>
              <w:start w:w="90" w:type="dxa"/>
              <w:end w:w="90" w:type="dxa"/>
            </w:tcMar>
            <w:vAlign w:val="center"/>
          </w:tcPr>
          <w:p>
            <w:pPr>
              <w:spacing w:after="20" w:line="240" w:lineRule="auto"/>
            </w:pPr>
            <w:r>
              <w:rPr>
                <w:rFonts w:ascii="Arial" w:hAnsi="Arial"/>
                <w:b/>
                <w:sz w:val="17"/>
              </w:rPr>
            </w:r>
            <w:r>
              <w:rPr>
                <w:rFonts w:ascii="Arial" w:hAnsi="Arial" w:eastAsia="Arial"/>
                <w:b/>
                <w:sz w:val="17"/>
              </w:rPr>
              <w:t>IATA</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 number</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UN3082</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UN3082</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UN3082</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UN proper shipping name</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Environmentally hazardous substance, liquid, n.o.s. (epoxy resin, MW ≤700)</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Environmentally hazardous substance, liquid, n.o.s. (epoxy resin, MW ≤700). Marine pollutant.</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Environmentally hazardous substance, liquid, n.o.s. (epoxy resin, MW ≤700)</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Transport hazard class(es)</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9</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9</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9</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Packing group</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III</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III</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III</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Environmental hazards</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Yes</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Yes</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Yes</w:t>
            </w:r>
          </w:p>
        </w:tc>
      </w:tr>
      <w:tr>
        <w:tc>
          <w:tcPr>
            <w:tcW w:type="dxa" w:w="2160"/>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Additional information</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regulated as dangerous goods in sizes of ≤5 L or ≤5 kg when packaging meets applicable provisions.</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regulated as dangerous goods in sizes of ≤5 L or ≤5 kg when packaging meets applicable provisions. Emergency schedules: F-A, S-F.</w:t>
            </w:r>
          </w:p>
        </w:tc>
        <w:tc>
          <w:tcPr>
            <w:tcW w:type="dxa" w:w="2736"/>
            <w:vAlign w:val="center"/>
            <w:tcMar>
              <w:top w:w="70" w:type="dxa"/>
              <w:left w:w="80" w:type="dxa"/>
              <w:bottom w:w="70" w:type="dxa"/>
              <w:right w:w="80" w:type="dxa"/>
              <w:start w:w="90" w:type="dxa"/>
              <w:end w:w="90" w:type="dxa"/>
            </w:tcMar>
          </w:tcPr>
          <w:p>
            <w:pPr>
              <w:spacing w:after="20" w:line="240" w:lineRule="auto"/>
            </w:pPr>
            <w:r>
              <w:rPr>
                <w:rFonts w:ascii="Arial" w:hAnsi="Arial"/>
                <w:b w:val="0"/>
                <w:sz w:val="17"/>
              </w:rPr>
            </w:r>
            <w:r>
              <w:rPr>
                <w:rFonts w:ascii="Arial" w:hAnsi="Arial" w:eastAsia="Arial"/>
                <w:b w:val="0"/>
                <w:sz w:val="17"/>
              </w:rPr>
              <w:t>Not regulated as dangerous goods in sizes of ≤5 L or ≤5 kg when packaging meets applicable provisions.</w:t>
            </w:r>
          </w:p>
        </w:tc>
      </w:tr>
    </w:tbl>
    <w:p/>
    <w:p>
      <w:r>
        <w:rPr>
          <w:rFonts w:ascii="Arial" w:hAnsi="Arial" w:eastAsia="Arial"/>
          <w:b w:val="0"/>
        </w:rPr>
        <w:t>Additional information: Transport in accordance with ADR/RID, IMDG/IMO, ICAO/IATA and national regulations. ADR/RID: Tunnel restriction code (-); hazard identification number 90. Transport within user’s premises must be in closed containers that are upright and secure. Transport in bulk according to Annex II of MARPOL and the IBC Code: Not applicable.</w:t>
      </w:r>
    </w:p>
    <w:p>
      <w:pPr>
        <w:pStyle w:val="Heading1"/>
        <w:spacing w:before="160" w:after="80"/>
      </w:pPr>
      <w:r>
        <w:t>15. REGULATORY INFORMATION</w:t>
      </w:r>
    </w:p>
    <w:p>
      <w:r>
        <w:rPr>
          <w:rFonts w:ascii="Arial" w:hAnsi="Arial" w:eastAsia="Arial"/>
          <w:b w:val="0"/>
        </w:rPr>
        <w:t>Singapore — hazardous chemicals under government control: None.</w:t>
      </w:r>
    </w:p>
    <w:p>
      <w:pPr>
        <w:pStyle w:val="Heading1"/>
        <w:spacing w:before="160" w:after="80"/>
      </w:pPr>
      <w:r>
        <w:t>16. OTHER INFORMATION</w:t>
      </w:r>
    </w:p>
    <w:p>
      <w:pPr>
        <w:pStyle w:val="Heading2"/>
        <w:spacing w:before="80" w:after="40"/>
      </w:pPr>
      <w:r>
        <w:t>Key to abbreviations</w:t>
      </w:r>
    </w:p>
    <w:p>
      <w:pPr>
        <w:pStyle w:val="ListBullet"/>
      </w:pPr>
      <w:r>
        <w:t>ATE = Acute Toxicity Estimate</w:t>
      </w:r>
    </w:p>
    <w:p>
      <w:pPr>
        <w:pStyle w:val="ListBullet"/>
      </w:pPr>
      <w:r>
        <w:t>BCF = Bioconcentration Factor</w:t>
      </w:r>
    </w:p>
    <w:p>
      <w:pPr>
        <w:pStyle w:val="ListBullet"/>
      </w:pPr>
      <w:r>
        <w:t>GHS = Globally Harmonized System of Classification and Labelling of Chemicals</w:t>
      </w:r>
    </w:p>
    <w:p>
      <w:pPr>
        <w:pStyle w:val="ListBullet"/>
      </w:pPr>
      <w:r>
        <w:t>IATA = International Air Transport Association</w:t>
      </w:r>
    </w:p>
    <w:p>
      <w:pPr>
        <w:pStyle w:val="ListBullet"/>
      </w:pPr>
      <w:r>
        <w:t>IBC = Intermediate Bulk Container</w:t>
      </w:r>
    </w:p>
    <w:p>
      <w:pPr>
        <w:pStyle w:val="ListBullet"/>
      </w:pPr>
      <w:r>
        <w:t>IMDG = International Maritime Dangerous Goods</w:t>
      </w:r>
    </w:p>
    <w:p>
      <w:pPr>
        <w:pStyle w:val="ListBullet"/>
      </w:pPr>
      <w:r>
        <w:t>LogPow = logarithm of the octanol/water partition coefficient</w:t>
      </w:r>
    </w:p>
    <w:p>
      <w:pPr>
        <w:pStyle w:val="ListBullet"/>
      </w:pPr>
      <w:r>
        <w:t>MARPOL = International Convention for the Prevention of Pollution From Ships, 1973 as modified by the Protocol of 1978</w:t>
      </w:r>
    </w:p>
    <w:p>
      <w:pPr>
        <w:pStyle w:val="ListBullet"/>
      </w:pPr>
      <w:r>
        <w:t>UN = United Nations</w:t>
      </w:r>
    </w:p>
    <w:p>
      <w:r>
        <w:rPr>
          <w:rFonts w:ascii="Arial" w:hAnsi="Arial" w:eastAsia="Arial"/>
          <w:b w:val="0"/>
        </w:rPr>
        <w:t>References: Not available.</w:t>
      </w:r>
    </w:p>
    <w:p>
      <w:pPr>
        <w:pStyle w:val="Heading2"/>
        <w:spacing w:before="80" w:after="40"/>
      </w:pPr>
      <w:r>
        <w:t>Notes</w:t>
      </w:r>
    </w:p>
    <w:p>
      <w:r>
        <w:rPr>
          <w:rFonts w:ascii="Arial" w:hAnsi="Arial" w:eastAsia="Arial"/>
          <w:b w:val="0"/>
        </w:rPr>
        <w:t>PT. Indowijaya Sakti Teguh has a responsibility to take reasonable care for our own health and safety and the health and safety of others who may be affected by our acts or omissions. This MSDS, at the date of issue, contains health and safety information of the product and how to safely handle and use this product in the workplace.</w:t>
      </w:r>
    </w:p>
    <w:p>
      <w:r>
        <w:rPr>
          <w:rFonts w:ascii="Arial" w:hAnsi="Arial" w:eastAsia="Arial"/>
          <w:b w:val="0"/>
        </w:rPr>
        <w:t>All information is given to the best of our knowledge. Because end-use conditions cannot be anticipated or controlled, each user must determine safe handling and use of this product in the workplace by reviewing this MSDS.</w:t>
      </w:r>
    </w:p>
    <w:p>
      <w:r>
        <w:rPr>
          <w:rFonts w:ascii="Arial" w:hAnsi="Arial" w:eastAsia="Arial"/>
          <w:b w:val="0"/>
        </w:rPr>
        <w:t>PT. Indowijaya Sakti Teguh believes this information to be reliable and provided in good faith, but no guarantees or warranties of any kind are made as to its accuracy or suitability for particular applications. Full-scale testing and performance of the product are the responsibility of the end user.</w:t>
      </w:r>
    </w:p>
    <w:sectPr w:rsidR="00FC693F" w:rsidRPr="0006063C" w:rsidSect="00034616">
      <w:footerReference w:type="default" r:id="rId9"/>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6464"/>
        <w:sz w:val="16"/>
      </w:rPr>
      <w:t xml:space="preserve">Puffin Evolac Clear Multifungsi Base A MSDS  |  Page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4F81BD" w:themeColor="accent1"/>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Material Safety Data Sheet — Puffin Epoxy Evolac Clear Multifungsi Base A</dc:title>
  <dc:subject>Product identity no. IW-PEEMF-A</dc:subject>
  <dc:creator>PT Indowijaya Sakti Teguh</dc:creator>
  <cp:keywords/>
  <dc:description>generated by python-docx</dc:description>
  <cp:lastModifiedBy/>
  <cp:revision>1</cp:revision>
  <dcterms:created xsi:type="dcterms:W3CDTF">2013-12-23T23:15:00Z</dcterms:created>
  <dcterms:modified xsi:type="dcterms:W3CDTF">2013-12-23T23:15:00Z</dcterms:modified>
  <cp:category/>
</cp:coreProperties>
</file>