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7365D"/>
          <w:sz w:val="22"/>
        </w:rPr>
        <w:t>PT. INDOWIJAYA SAKTI TEGUH</w:t>
      </w:r>
    </w:p>
    <w:p>
      <w:pPr>
        <w:jc w:val="center"/>
      </w:pPr>
      <w:r>
        <w:rPr>
          <w:rFonts w:ascii="Arial" w:hAnsi="Arial"/>
          <w:b w:val="0"/>
          <w:color w:val="555555"/>
          <w:sz w:val="18"/>
        </w:rPr>
        <w:t>Jl. Pangeran Jayakarta No. 121/3–4, Jakarta Pusat 10730, Indonesia</w:t>
      </w:r>
    </w:p>
    <w:p>
      <w:pPr>
        <w:jc w:val="center"/>
      </w:pPr>
      <w:r>
        <w:rPr>
          <w:rFonts w:ascii="Arial" w:hAnsi="Arial"/>
          <w:b w:val="0"/>
          <w:color w:val="555555"/>
          <w:sz w:val="18"/>
        </w:rPr>
        <w:t>www.puffinpaint.com  |  Tel.: +62 21 6231 3238</w:t>
      </w:r>
    </w:p>
    <w:p>
      <w:pPr>
        <w:spacing w:before="320"/>
        <w:jc w:val="center"/>
      </w:pPr>
      <w:r>
        <w:rPr>
          <w:rFonts w:ascii="Arial" w:hAnsi="Arial"/>
          <w:b/>
          <w:color w:val="17365D"/>
          <w:sz w:val="36"/>
        </w:rPr>
        <w:t>TECHNICAL DATA SHEET</w:t>
      </w:r>
    </w:p>
    <w:p>
      <w:pPr>
        <w:jc w:val="center"/>
      </w:pPr>
      <w:r>
        <w:rPr>
          <w:rFonts w:ascii="Arial" w:hAnsi="Arial"/>
          <w:b/>
          <w:color w:val="C00000"/>
          <w:sz w:val="28"/>
        </w:rPr>
        <w:t>PUFFIN EPOXY EVOLAC CLEAR MULTIFUNGSI</w:t>
      </w:r>
    </w:p>
    <w:p>
      <w:pPr>
        <w:pStyle w:val="Heading1"/>
      </w:pPr>
      <w:r>
        <w:t>1. PRODUCT DESCRIPTION</w:t>
      </w:r>
    </w:p>
    <w:p>
      <w:r>
        <w:t>A two-component, polyamine-cured, solvent-free epoxy Novolac coating designed for use as a topcoat or single-coat system. It offers chemical resistance for medium-to-high chemical exposure, abrasion resistance, and a hard surface for medium-to-heavy traffic areas. Suitable for interior wood, carbon steel, galvanised steel, stainless steel, aluminium, stone, and concrete, with an application thickness of 300–2,000 µm.</w:t>
      </w:r>
    </w:p>
    <w:p>
      <w:pPr>
        <w:pStyle w:val="Heading1"/>
      </w:pPr>
      <w:r>
        <w:t>2. TYPICAL PROPERTIES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61"/>
        <w:gridCol w:w="4961"/>
      </w:tblGrid>
      <w:tr>
        <w:trPr>
          <w:tblHeader w:val="true"/>
        </w:trP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D9EAF7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sz w:val="17"/>
              </w:rPr>
              <w:t>Property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D9EAF7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sz w:val="17"/>
              </w:rPr>
              <w:t>Value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Colour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Transparent clear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Gloss level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Gloss, 75–85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Dry-film thickness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300–2,000 µm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Wet-film thickness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300–2,000 µm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Theoretical spreading rate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3–0.5 m²/L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Solids by volume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99% ± 2%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Density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1 g/cm³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Flash point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18°C ± 2°C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Practical coverage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Allow for appropriate loss factors</w:t>
            </w:r>
          </w:p>
        </w:tc>
      </w:tr>
    </w:tbl>
    <w:p>
      <w:pPr>
        <w:pStyle w:val="Heading1"/>
      </w:pPr>
      <w:r>
        <w:t>3. RECOMMENDED USE</w:t>
      </w:r>
    </w:p>
    <w:p>
      <w:r>
        <w:t>Recommended as a single coat or topcoat for interior wood, carbon steel, galvanised steel, stainless steel, aluminium, stone, and concrete where chemical resistance, abrasion resistance, and a hard surface are required.</w:t>
      </w:r>
    </w:p>
    <w:p>
      <w:pPr>
        <w:pStyle w:val="Heading1"/>
      </w:pPr>
      <w:r>
        <w:t>4. SURFACE PREPARATION</w:t>
      </w:r>
    </w:p>
    <w:p>
      <w:r>
        <w:t>All surfaces must be clean, dry, and free from oil, grease, dust, and other contamination. Remove oil and grease using a suitable cleaning method before application.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61"/>
        <w:gridCol w:w="4961"/>
      </w:tblGrid>
      <w:tr>
        <w:trPr>
          <w:tblHeader w:val="true"/>
        </w:trP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D9EAF7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sz w:val="17"/>
              </w:rPr>
              <w:t>Substrate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D9EAF7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sz w:val="17"/>
              </w:rPr>
              <w:t>Minimum recommended preparation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Carbon steel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Abrasive blast-clean to Sa 2½ (ISO 8501-1).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Concrete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Minimum concrete age: 1 month; pH &lt; 9; moisture content &lt; 17%. Surface must be clean, dry, and free from contamination.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Wood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Surface must be clean and dry. Remove contamination using detergent and fresh-water cleaning.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Stainless steel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Cleanliness and surface profile corresponding to Sa 2½, Fine G (ISO 8503-2).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Aluminium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Abrade by hand or machine using non-metallic abrasives or bonded-fibre pads to create a scratch pattern and remove polish. Dry abrasive blast-cleaning to SSPC-SP 13/NACE No. 6.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Galvanised steel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Surface must be clean, dry, rough, and dull. Light brush-blast using non-metallic abrasive to create an even profile.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Stone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Clean, dry, and free from contamination.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Previously coated surfaces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Clean, dry, free from contamination, and coated with an undamaged compatible coating (ISO 12944-4, 6.1).</w:t>
            </w:r>
          </w:p>
        </w:tc>
      </w:tr>
    </w:tbl>
    <w:p>
      <w:pPr>
        <w:pStyle w:val="Heading1"/>
      </w:pPr>
      <w:r>
        <w:t>5. APPLICATION DATA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61"/>
        <w:gridCol w:w="4961"/>
      </w:tblGrid>
      <w:tr>
        <w:trPr>
          <w:tblHeader w:val="true"/>
        </w:trP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D9EAF7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sz w:val="17"/>
              </w:rPr>
              <w:t>Item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D9EAF7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sz w:val="17"/>
              </w:rPr>
              <w:t>Information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Application methods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Trowel, airless spray, conventional spray, brush, or roller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Airless spray pressure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Minimum 150 bar / 2,100 psi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Nozzle tip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0.013–0.019 inch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Filter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Check that filters are clean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Brush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Recommended for stripe coating and small areas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Important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Apply carefully to achieve the specified dry-film thickness.</w:t>
            </w:r>
          </w:p>
        </w:tc>
      </w:tr>
    </w:tbl>
    <w:p>
      <w:pPr>
        <w:pStyle w:val="Heading1"/>
      </w:pPr>
      <w:r>
        <w:t>6. MIXING RATIO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61"/>
        <w:gridCol w:w="4961"/>
      </w:tblGrid>
      <w:tr>
        <w:trPr>
          <w:tblHeader w:val="true"/>
        </w:trP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D9EAF7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sz w:val="17"/>
              </w:rPr>
              <w:t>Component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D9EAF7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sz w:val="17"/>
              </w:rPr>
              <w:t>Mixing ratio by source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Puffin Epoxy Clear Multifungsi Base A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2 parts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Puffin Epoxy Clear Multifungsi Base B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1 part</w:t>
            </w:r>
          </w:p>
        </w:tc>
      </w:tr>
    </w:tbl>
    <w:p>
      <w:pPr>
        <w:pStyle w:val="Heading1"/>
      </w:pPr>
      <w:r>
        <w:t>7. DRYING AND CURING TIMES</w:t>
      </w:r>
    </w:p>
    <w:p>
      <w:r>
        <w:t>Values are based on controlled temperatures, relative humidity below 85%, and the average specified dry-film thickness. “Walk-on dry” is the minimum time before normal foot traffic can occur without permanent marks. Minimum overcoating time is the shortest interval before applying the next coat.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54"/>
        <w:gridCol w:w="1654"/>
        <w:gridCol w:w="1654"/>
        <w:gridCol w:w="1654"/>
        <w:gridCol w:w="1654"/>
        <w:gridCol w:w="1654"/>
      </w:tblGrid>
      <w:tr>
        <w:trPr>
          <w:tblHeader w:val="true"/>
        </w:trPr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D9EAF7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sz w:val="16"/>
              </w:rPr>
              <w:t>Substrate temperature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D9EAF7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sz w:val="16"/>
              </w:rPr>
              <w:t>5°C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D9EAF7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sz w:val="16"/>
              </w:rPr>
              <w:t>10°C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D9EAF7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sz w:val="16"/>
              </w:rPr>
              <w:t>15°C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D9EAF7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sz w:val="16"/>
              </w:rPr>
              <w:t>23°C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D9EAF7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sz w:val="16"/>
              </w:rPr>
              <w:t>40°C</w:t>
            </w:r>
          </w:p>
        </w:tc>
      </w:tr>
      <w:tr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Surface dry (hours)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3</w:t>
            </w:r>
          </w:p>
        </w:tc>
      </w:tr>
      <w:tr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Walk-on dry (hours)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4</w:t>
            </w:r>
          </w:p>
        </w:tc>
      </w:tr>
      <w:tr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Minimum overcoating time (hours)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4</w:t>
            </w:r>
          </w:p>
        </w:tc>
      </w:tr>
      <w:tr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Maximum overcoating time (hours)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180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150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72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48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30</w:t>
            </w:r>
          </w:p>
        </w:tc>
      </w:tr>
      <w:tr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Dry/cured for service (days)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654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6"/>
              </w:rPr>
              <w:t>3</w:t>
            </w:r>
          </w:p>
        </w:tc>
      </w:tr>
    </w:tbl>
    <w:p>
      <w:pPr>
        <w:pStyle w:val="Heading1"/>
      </w:pPr>
      <w:r>
        <w:t>8. PRODUCT COMPATIBILITY</w:t>
      </w:r>
    </w:p>
    <w:p>
      <w:r>
        <w:t>Compatible primer and topcoat selection depends on the actual exposure and coating system. Typical subsequent coats include epoxy and polyurethane coatings.</w:t>
      </w:r>
    </w:p>
    <w:p>
      <w:pPr>
        <w:pStyle w:val="Heading1"/>
      </w:pPr>
      <w:r>
        <w:t>9. HEALTH, SAFETY, AND PRECAUTIONS</w:t>
      </w:r>
    </w:p>
    <w:p>
      <w:r>
        <w:t>Clean the surface before application. Observe all precautionary notices on the container. Use in well-ventilated conditions. Do not inhale spray mist. Avoid skin and eye contact. Remove skin contamination immediately using a suitable cleanser, soap, and water. Flush eyes thoroughly with water and seek immediate medical attention. Refer to the applicable MSDS for complete safety information.</w:t>
      </w:r>
    </w:p>
    <w:p>
      <w:pPr>
        <w:pStyle w:val="Heading1"/>
      </w:pPr>
      <w:r>
        <w:t>10. STORAGE AND PACKAGING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61"/>
        <w:gridCol w:w="4961"/>
      </w:tblGrid>
      <w:tr>
        <w:trPr>
          <w:tblHeader w:val="true"/>
        </w:trP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D9EAF7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sz w:val="17"/>
              </w:rPr>
              <w:t>Item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D9EAF7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sz w:val="17"/>
              </w:rPr>
              <w:t>Information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Storage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Store in accordance with national regulations. Keep containers tightly closed in a dry, cool, well-ventilated area away from heat and ignition sources. Handle with care.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Shelf life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24 months at 23°C</w:t>
            </w:r>
          </w:p>
        </w:tc>
      </w:tr>
      <w:tr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Pack sizes</w:t>
            </w:r>
          </w:p>
        </w:tc>
        <w:tc>
          <w:tcPr>
            <w:tcW w:type="dxa" w:w="4961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sz w:val="17"/>
              </w:rPr>
              <w:t>1.5 kg, 7.5 kg, and 20 kg per set</w:t>
            </w:r>
          </w:p>
        </w:tc>
      </w:tr>
    </w:tbl>
    <w:p>
      <w:pPr>
        <w:pStyle w:val="Heading2"/>
      </w:pPr>
      <w:r>
        <w:t>IMPORTANT NOTE</w:t>
      </w:r>
    </w:p>
    <w:p>
      <w:r>
        <w:t>The technical values above reproduce the source document. Application conditions, substrate condition, and loss factors may affect actual performance and coverage. Verify critical project requirements before use.</w:t>
      </w:r>
    </w:p>
    <w:sectPr w:rsidR="00FC693F" w:rsidRPr="0006063C" w:rsidSect="00034616">
      <w:footerReference w:type="default" r:id="rId9"/>
      <w:pgSz w:w="11906" w:h="16838"/>
      <w:pgMar w:top="907" w:right="992" w:bottom="907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6464"/>
        <w:sz w:val="16"/>
      </w:rPr>
      <w:t xml:space="preserve">Puffin Epoxy Evolac Clear Multifungsi TDS  |  Page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7365D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Data Sheet — Puffin Epoxy Evolac Clear Multifungsi</dc:title>
  <dc:subject/>
  <dc:creator>PT Indowijaya Sakti Teguh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