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4"/>
        </w:rPr>
        <w:t>PT. INDOWIJAYA SAKTI TEGUH</w:t>
      </w:r>
    </w:p>
    <w:p>
      <w:pPr>
        <w:jc w:val="center"/>
      </w:pPr>
      <w:r>
        <w:rPr>
          <w:sz w:val="18"/>
        </w:rPr>
        <w:t>Jl. Pangeran Jayakarta No. 121/3–4, Jakarta Pusat 10730, Indonesia</w:t>
      </w:r>
    </w:p>
    <w:p>
      <w:pPr>
        <w:jc w:val="center"/>
      </w:pPr>
      <w:r>
        <w:rPr>
          <w:sz w:val="18"/>
        </w:rPr>
        <w:t>www.puffinpaint.com  |  Tel.: +62 21 6231 3238</w:t>
      </w:r>
    </w:p>
    <w:p>
      <w:pPr>
        <w:jc w:val="center"/>
      </w:pPr>
      <w:r>
        <w:rPr>
          <w:b/>
          <w:sz w:val="28"/>
        </w:rPr>
        <w:t>MATERIAL SAFETY DATA SHEET</w:t>
      </w:r>
    </w:p>
    <w:p>
      <w:pPr>
        <w:jc w:val="center"/>
      </w:pPr>
      <w:r>
        <w:rPr>
          <w:b/>
          <w:sz w:val="20"/>
        </w:rPr>
        <w:t>PASA</w:t>
        <w:br/>
      </w:r>
      <w:r>
        <w:rPr>
          <w:b/>
          <w:sz w:val="26"/>
        </w:rPr>
        <w:t>PUFFIN AEROSILCOAT BASE A</w:t>
      </w:r>
    </w:p>
    <w:p/>
    <w:tbl>
      <w:tblPr>
        <w:tblStyle w:val="TableGrid"/>
        <w:tblW w:type="auto" w:w="0"/>
        <w:jc w:val="center"/>
        <w:tblLook w:firstColumn="1" w:firstRow="1" w:lastColumn="0" w:lastRow="0" w:noHBand="0" w:noVBand="1" w:val="04A0"/>
      </w:tblPr>
      <w:tblGrid>
        <w:gridCol w:w="5112"/>
        <w:gridCol w:w="5112"/>
      </w:tblGrid>
      <w:tr>
        <w:tc>
          <w:tcPr>
            <w:tcW w:type="dxa" w:w="5112"/>
            <w:vAlign w:val="center"/>
          </w:tcPr>
          <w:p>
            <w:r/>
            <w:r>
              <w:rPr>
                <w:b/>
                <w:sz w:val="18"/>
              </w:rPr>
              <w:t>Published</w:t>
            </w:r>
          </w:p>
        </w:tc>
        <w:tc>
          <w:tcPr>
            <w:tcW w:type="dxa" w:w="5112"/>
            <w:vAlign w:val="center"/>
          </w:tcPr>
          <w:p>
            <w:r/>
            <w:r>
              <w:rPr>
                <w:b w:val="0"/>
                <w:sz w:val="18"/>
              </w:rPr>
              <w:t>July 2026</w:t>
            </w:r>
          </w:p>
        </w:tc>
      </w:tr>
      <w:tr>
        <w:tc>
          <w:tcPr>
            <w:tcW w:type="dxa" w:w="5112"/>
            <w:vAlign w:val="center"/>
          </w:tcPr>
          <w:p>
            <w:r/>
            <w:r>
              <w:rPr>
                <w:b/>
                <w:sz w:val="18"/>
              </w:rPr>
              <w:t>Product Identity No.</w:t>
            </w:r>
          </w:p>
        </w:tc>
        <w:tc>
          <w:tcPr>
            <w:tcW w:type="dxa" w:w="5112"/>
            <w:vAlign w:val="center"/>
          </w:tcPr>
          <w:p>
            <w:r/>
            <w:r>
              <w:rPr>
                <w:b w:val="0"/>
                <w:sz w:val="18"/>
              </w:rPr>
              <w:t>IW-PASA</w:t>
            </w:r>
          </w:p>
        </w:tc>
      </w:tr>
      <w:tr>
        <w:tc>
          <w:tcPr>
            <w:tcW w:type="dxa" w:w="5112"/>
            <w:vAlign w:val="center"/>
          </w:tcPr>
          <w:p>
            <w:r/>
            <w:r>
              <w:rPr>
                <w:b/>
                <w:sz w:val="18"/>
              </w:rPr>
              <w:t>Edited</w:t>
            </w:r>
          </w:p>
        </w:tc>
        <w:tc>
          <w:tcPr>
            <w:tcW w:type="dxa" w:w="5112"/>
            <w:vAlign w:val="center"/>
          </w:tcPr>
          <w:p>
            <w:r/>
            <w:r>
              <w:rPr>
                <w:b w:val="0"/>
                <w:sz w:val="18"/>
              </w:rPr>
              <w:t>-</w:t>
            </w:r>
          </w:p>
        </w:tc>
      </w:tr>
      <w:tr>
        <w:tc>
          <w:tcPr>
            <w:tcW w:type="dxa" w:w="5112"/>
            <w:vAlign w:val="center"/>
          </w:tcPr>
          <w:p>
            <w:r/>
            <w:r>
              <w:rPr>
                <w:b/>
                <w:sz w:val="18"/>
              </w:rPr>
              <w:t>Distribution Date</w:t>
            </w:r>
          </w:p>
        </w:tc>
        <w:tc>
          <w:tcPr>
            <w:tcW w:type="dxa" w:w="5112"/>
            <w:vAlign w:val="center"/>
          </w:tcPr>
          <w:p>
            <w:r/>
            <w:r>
              <w:rPr>
                <w:b w:val="0"/>
                <w:sz w:val="18"/>
              </w:rPr>
              <w:t>July 2026</w:t>
            </w:r>
          </w:p>
        </w:tc>
      </w:tr>
      <w:tr>
        <w:tc>
          <w:tcPr>
            <w:tcW w:type="dxa" w:w="5112"/>
            <w:vAlign w:val="center"/>
          </w:tcPr>
          <w:p>
            <w:r/>
            <w:r>
              <w:rPr>
                <w:b/>
                <w:sz w:val="18"/>
              </w:rPr>
              <w:t>Trade Name</w:t>
            </w:r>
          </w:p>
        </w:tc>
        <w:tc>
          <w:tcPr>
            <w:tcW w:type="dxa" w:w="5112"/>
            <w:vAlign w:val="center"/>
          </w:tcPr>
          <w:p>
            <w:r/>
            <w:r>
              <w:rPr>
                <w:b w:val="0"/>
                <w:sz w:val="18"/>
              </w:rPr>
              <w:t>PUFFIN AEROSILCOAT BASE A</w:t>
            </w:r>
          </w:p>
        </w:tc>
      </w:tr>
    </w:tbl>
    <w:p>
      <w:pPr>
        <w:pStyle w:val="Heading1"/>
      </w:pPr>
      <w:r>
        <w:t>1. IDENTIFICATION OF THE SUBSTANCE AND COMPANY</w:t>
      </w:r>
    </w:p>
    <w:tbl>
      <w:tblPr>
        <w:tblStyle w:val="TableGrid"/>
        <w:tblW w:type="auto" w:w="0"/>
        <w:jc w:val="center"/>
        <w:tblLook w:firstColumn="1" w:firstRow="1" w:lastColumn="0" w:lastRow="0" w:noHBand="0" w:noVBand="1" w:val="04A0"/>
      </w:tblPr>
      <w:tblGrid>
        <w:gridCol w:w="5112"/>
        <w:gridCol w:w="5112"/>
      </w:tblGrid>
      <w:tr>
        <w:tc>
          <w:tcPr>
            <w:tcW w:type="dxa" w:w="5112"/>
            <w:vAlign w:val="center"/>
          </w:tcPr>
          <w:p>
            <w:r/>
            <w:r>
              <w:rPr>
                <w:b/>
                <w:sz w:val="18"/>
              </w:rPr>
              <w:t>Chemical Description</w:t>
            </w:r>
          </w:p>
        </w:tc>
        <w:tc>
          <w:tcPr>
            <w:tcW w:type="dxa" w:w="5112"/>
            <w:vAlign w:val="center"/>
          </w:tcPr>
          <w:p>
            <w:r/>
            <w:r>
              <w:rPr>
                <w:b w:val="0"/>
                <w:sz w:val="18"/>
              </w:rPr>
              <w:t>Polyurethane Silicone</w:t>
            </w:r>
          </w:p>
        </w:tc>
      </w:tr>
      <w:tr>
        <w:tc>
          <w:tcPr>
            <w:tcW w:type="dxa" w:w="5112"/>
            <w:vAlign w:val="center"/>
          </w:tcPr>
          <w:p>
            <w:r/>
            <w:r>
              <w:rPr>
                <w:b/>
                <w:sz w:val="18"/>
              </w:rPr>
              <w:t>Recommendation</w:t>
            </w:r>
          </w:p>
        </w:tc>
        <w:tc>
          <w:tcPr>
            <w:tcW w:type="dxa" w:w="5112"/>
            <w:vAlign w:val="center"/>
          </w:tcPr>
          <w:p>
            <w:r/>
            <w:r>
              <w:rPr>
                <w:b w:val="0"/>
                <w:sz w:val="18"/>
              </w:rPr>
              <w:t>Paint</w:t>
            </w:r>
          </w:p>
        </w:tc>
      </w:tr>
      <w:tr>
        <w:tc>
          <w:tcPr>
            <w:tcW w:type="dxa" w:w="5112"/>
            <w:vAlign w:val="center"/>
          </w:tcPr>
          <w:p>
            <w:r/>
            <w:r>
              <w:rPr>
                <w:b/>
                <w:sz w:val="18"/>
              </w:rPr>
              <w:t>Supplier</w:t>
            </w:r>
          </w:p>
        </w:tc>
        <w:tc>
          <w:tcPr>
            <w:tcW w:type="dxa" w:w="5112"/>
            <w:vAlign w:val="center"/>
          </w:tcPr>
          <w:p>
            <w:r/>
            <w:r>
              <w:rPr>
                <w:b w:val="0"/>
                <w:sz w:val="18"/>
              </w:rPr>
              <w:t>PT. INDOWIJAYA SAKTI TEGUH</w:t>
            </w:r>
          </w:p>
        </w:tc>
      </w:tr>
      <w:tr>
        <w:tc>
          <w:tcPr>
            <w:tcW w:type="dxa" w:w="5112"/>
            <w:vAlign w:val="center"/>
          </w:tcPr>
          <w:p>
            <w:r/>
            <w:r>
              <w:rPr>
                <w:b/>
                <w:sz w:val="18"/>
              </w:rPr>
              <w:t>Address</w:t>
            </w:r>
          </w:p>
        </w:tc>
        <w:tc>
          <w:tcPr>
            <w:tcW w:type="dxa" w:w="5112"/>
            <w:vAlign w:val="center"/>
          </w:tcPr>
          <w:p>
            <w:r/>
            <w:r>
              <w:rPr>
                <w:b w:val="0"/>
                <w:sz w:val="18"/>
              </w:rPr>
              <w:t>Jl. Pangeran Jayakarta No. 121/3–4, Jakarta Pusat 10730, Indonesia</w:t>
            </w:r>
          </w:p>
        </w:tc>
      </w:tr>
      <w:tr>
        <w:tc>
          <w:tcPr>
            <w:tcW w:type="dxa" w:w="5112"/>
            <w:vAlign w:val="center"/>
          </w:tcPr>
          <w:p>
            <w:r/>
            <w:r>
              <w:rPr>
                <w:b/>
                <w:sz w:val="18"/>
              </w:rPr>
              <w:t>Phone</w:t>
            </w:r>
          </w:p>
        </w:tc>
        <w:tc>
          <w:tcPr>
            <w:tcW w:type="dxa" w:w="5112"/>
            <w:vAlign w:val="center"/>
          </w:tcPr>
          <w:p>
            <w:r/>
            <w:r>
              <w:rPr>
                <w:b w:val="0"/>
                <w:sz w:val="18"/>
              </w:rPr>
              <w:t>+62 21 6231 3238</w:t>
            </w:r>
          </w:p>
        </w:tc>
      </w:tr>
      <w:tr>
        <w:tc>
          <w:tcPr>
            <w:tcW w:type="dxa" w:w="5112"/>
            <w:vAlign w:val="center"/>
          </w:tcPr>
          <w:p>
            <w:r/>
            <w:r>
              <w:rPr>
                <w:b/>
                <w:sz w:val="18"/>
              </w:rPr>
              <w:t>WA</w:t>
            </w:r>
          </w:p>
        </w:tc>
        <w:tc>
          <w:tcPr>
            <w:tcW w:type="dxa" w:w="5112"/>
            <w:vAlign w:val="center"/>
          </w:tcPr>
          <w:p>
            <w:r/>
            <w:r>
              <w:rPr>
                <w:b w:val="0"/>
                <w:sz w:val="18"/>
              </w:rPr>
              <w:t>+62 878 7374 3534 (WA messages only)</w:t>
            </w:r>
          </w:p>
        </w:tc>
      </w:tr>
      <w:tr>
        <w:tc>
          <w:tcPr>
            <w:tcW w:type="dxa" w:w="5112"/>
            <w:vAlign w:val="center"/>
          </w:tcPr>
          <w:p>
            <w:r/>
            <w:r>
              <w:rPr>
                <w:b/>
                <w:sz w:val="18"/>
              </w:rPr>
              <w:t>Email</w:t>
            </w:r>
          </w:p>
        </w:tc>
        <w:tc>
          <w:tcPr>
            <w:tcW w:type="dxa" w:w="5112"/>
            <w:vAlign w:val="center"/>
          </w:tcPr>
          <w:p>
            <w:r/>
            <w:r>
              <w:rPr>
                <w:b w:val="0"/>
                <w:sz w:val="18"/>
              </w:rPr>
              <w:t>sales.support@puffinpaint.com</w:t>
            </w:r>
          </w:p>
        </w:tc>
      </w:tr>
    </w:tbl>
    <w:p>
      <w:pPr>
        <w:pStyle w:val="Heading1"/>
      </w:pPr>
      <w:r>
        <w:t>2. HAZARD IDENTIFICATION</w:t>
      </w:r>
    </w:p>
    <w:p>
      <w:r>
        <w:t>Classification of the substance or mixture:</w:t>
      </w:r>
    </w:p>
    <w:p>
      <w:pPr>
        <w:pStyle w:val="ListBullet"/>
      </w:pPr>
      <w:r>
        <w:t>Flammable Liquids — Category 3</w:t>
      </w:r>
    </w:p>
    <w:p>
      <w:pPr>
        <w:pStyle w:val="ListBullet"/>
      </w:pPr>
      <w:r>
        <w:t>Skin Corrosion/Irritation — Category 2</w:t>
      </w:r>
    </w:p>
    <w:p>
      <w:pPr>
        <w:pStyle w:val="ListBullet"/>
      </w:pPr>
      <w:r>
        <w:t>Serious Eye Damage/Eye Irritation — Category 2A</w:t>
      </w:r>
    </w:p>
    <w:p>
      <w:pPr>
        <w:pStyle w:val="ListBullet"/>
      </w:pPr>
      <w:r>
        <w:t>Specific Target Organ Toxicity — Single Exposure (Narcotic Effects) — Category 3</w:t>
      </w:r>
    </w:p>
    <w:p>
      <w:r>
        <w:rPr>
          <w:b/>
        </w:rPr>
        <w:t>Signal Word: Warning</w:t>
      </w:r>
    </w:p>
    <w:p>
      <w:r>
        <w:t>Precautionary Statements: Avoid breathing vapour. Wear protective gloves and eye/face protection as required. Keep away from heat, hot surfaces, sparks, open flames, and other ignition sources. No smoking. Keep container tightly closed. Use only outdoors or in a well-ventilated area. Dispose of contents/container in accordance with local, regional, national, and international regulations.</w:t>
      </w:r>
    </w:p>
    <w:p>
      <w:r>
        <w:t>Other hazards which do not result in classification: None known.</w:t>
      </w:r>
    </w:p>
    <w:p>
      <w:pPr>
        <w:pStyle w:val="Heading1"/>
      </w:pPr>
      <w:r>
        <w:t>3. COMPOSITION / INFORMATION ON INGREDIENTS</w:t>
      </w:r>
    </w:p>
    <w:tbl>
      <w:tblPr>
        <w:tblStyle w:val="TableGrid"/>
        <w:tblW w:type="auto" w:w="0"/>
        <w:jc w:val="center"/>
        <w:tblLook w:firstColumn="1" w:firstRow="1" w:lastColumn="0" w:lastRow="0" w:noHBand="0" w:noVBand="1" w:val="04A0"/>
      </w:tblPr>
      <w:tblGrid>
        <w:gridCol w:w="5112"/>
        <w:gridCol w:w="5112"/>
      </w:tblGrid>
      <w:tr>
        <w:tc>
          <w:tcPr>
            <w:tcW w:type="dxa" w:w="5112"/>
            <w:vAlign w:val="center"/>
          </w:tcPr>
          <w:p>
            <w:r/>
            <w:r>
              <w:rPr>
                <w:b/>
                <w:sz w:val="18"/>
              </w:rPr>
              <w:t>Substance/Mixture</w:t>
            </w:r>
          </w:p>
        </w:tc>
        <w:tc>
          <w:tcPr>
            <w:tcW w:type="dxa" w:w="5112"/>
            <w:vAlign w:val="center"/>
          </w:tcPr>
          <w:p>
            <w:r/>
            <w:r>
              <w:rPr>
                <w:b w:val="0"/>
                <w:sz w:val="18"/>
              </w:rPr>
              <w:t>Mixture</w:t>
            </w:r>
          </w:p>
        </w:tc>
      </w:tr>
      <w:tr>
        <w:tc>
          <w:tcPr>
            <w:tcW w:type="dxa" w:w="5112"/>
            <w:vAlign w:val="center"/>
          </w:tcPr>
          <w:p>
            <w:r/>
            <w:r>
              <w:rPr>
                <w:b/>
                <w:sz w:val="18"/>
              </w:rPr>
              <w:t>CAS Number</w:t>
            </w:r>
          </w:p>
        </w:tc>
        <w:tc>
          <w:tcPr>
            <w:tcW w:type="dxa" w:w="5112"/>
            <w:vAlign w:val="center"/>
          </w:tcPr>
          <w:p>
            <w:r/>
            <w:r>
              <w:rPr>
                <w:b w:val="0"/>
                <w:sz w:val="18"/>
              </w:rPr>
              <w:t>Not applicable</w:t>
            </w:r>
          </w:p>
        </w:tc>
      </w:tr>
      <w:tr>
        <w:tc>
          <w:tcPr>
            <w:tcW w:type="dxa" w:w="5112"/>
            <w:vAlign w:val="center"/>
          </w:tcPr>
          <w:p>
            <w:r/>
            <w:r>
              <w:rPr>
                <w:b/>
                <w:sz w:val="18"/>
              </w:rPr>
              <w:t>EC Number</w:t>
            </w:r>
          </w:p>
        </w:tc>
        <w:tc>
          <w:tcPr>
            <w:tcW w:type="dxa" w:w="5112"/>
            <w:vAlign w:val="center"/>
          </w:tcPr>
          <w:p>
            <w:r/>
            <w:r>
              <w:rPr>
                <w:b w:val="0"/>
                <w:sz w:val="18"/>
              </w:rPr>
              <w:t>Mixture</w:t>
            </w:r>
          </w:p>
        </w:tc>
      </w:tr>
      <w:tr>
        <w:tc>
          <w:tcPr>
            <w:tcW w:type="dxa" w:w="5112"/>
            <w:vAlign w:val="center"/>
          </w:tcPr>
          <w:p>
            <w:r/>
            <w:r>
              <w:rPr>
                <w:b/>
                <w:sz w:val="18"/>
              </w:rPr>
              <w:t>Chemical Formula</w:t>
            </w:r>
          </w:p>
        </w:tc>
        <w:tc>
          <w:tcPr>
            <w:tcW w:type="dxa" w:w="5112"/>
            <w:vAlign w:val="center"/>
          </w:tcPr>
          <w:p>
            <w:r/>
            <w:r>
              <w:rPr>
                <w:b w:val="0"/>
                <w:sz w:val="18"/>
              </w:rPr>
              <w:t>Not applicable</w:t>
            </w:r>
          </w:p>
        </w:tc>
      </w:tr>
    </w:tbl>
    <w:tbl>
      <w:tblPr>
        <w:tblStyle w:val="TableGrid"/>
        <w:tblW w:type="auto" w:w="0"/>
        <w:jc w:val="center"/>
        <w:tblLook w:firstColumn="1" w:firstRow="1" w:lastColumn="0" w:lastRow="0" w:noHBand="0" w:noVBand="1" w:val="04A0"/>
      </w:tblPr>
      <w:tblGrid>
        <w:gridCol w:w="3408"/>
        <w:gridCol w:w="3408"/>
        <w:gridCol w:w="3408"/>
      </w:tblGrid>
      <w:tr>
        <w:tc>
          <w:tcPr>
            <w:tcW w:type="dxa" w:w="3408"/>
            <w:vAlign w:val="center"/>
            <w:shd w:fill="D9EAF7"/>
          </w:tcPr>
          <w:p>
            <w:r/>
            <w:r>
              <w:rPr>
                <w:b/>
                <w:sz w:val="18"/>
              </w:rPr>
              <w:t>Ingredient Name</w:t>
            </w:r>
          </w:p>
        </w:tc>
        <w:tc>
          <w:tcPr>
            <w:tcW w:type="dxa" w:w="3408"/>
            <w:vAlign w:val="center"/>
            <w:shd w:fill="D9EAF7"/>
          </w:tcPr>
          <w:p>
            <w:r/>
            <w:r>
              <w:rPr>
                <w:b/>
                <w:sz w:val="18"/>
              </w:rPr>
              <w:t>%</w:t>
            </w:r>
          </w:p>
        </w:tc>
        <w:tc>
          <w:tcPr>
            <w:tcW w:type="dxa" w:w="3408"/>
            <w:vAlign w:val="center"/>
            <w:shd w:fill="D9EAF7"/>
          </w:tcPr>
          <w:p>
            <w:r/>
            <w:r>
              <w:rPr>
                <w:b/>
                <w:sz w:val="18"/>
              </w:rPr>
              <w:t>CAS Number</w:t>
            </w:r>
          </w:p>
        </w:tc>
      </w:tr>
      <w:tr>
        <w:tc>
          <w:tcPr>
            <w:tcW w:type="dxa" w:w="3408"/>
            <w:vAlign w:val="center"/>
          </w:tcPr>
          <w:p>
            <w:r/>
            <w:r>
              <w:rPr>
                <w:b w:val="0"/>
                <w:sz w:val="18"/>
              </w:rPr>
              <w:t>n-Butyl acetate</w:t>
            </w:r>
          </w:p>
        </w:tc>
        <w:tc>
          <w:tcPr>
            <w:tcW w:type="dxa" w:w="3408"/>
            <w:vAlign w:val="center"/>
          </w:tcPr>
          <w:p>
            <w:r/>
            <w:r>
              <w:rPr>
                <w:b w:val="0"/>
                <w:sz w:val="18"/>
              </w:rPr>
              <w:t>≥10–≤25</w:t>
            </w:r>
          </w:p>
        </w:tc>
        <w:tc>
          <w:tcPr>
            <w:tcW w:type="dxa" w:w="3408"/>
            <w:vAlign w:val="center"/>
          </w:tcPr>
          <w:p>
            <w:r/>
            <w:r>
              <w:rPr>
                <w:b w:val="0"/>
                <w:sz w:val="18"/>
              </w:rPr>
              <w:t>123-86-4</w:t>
            </w:r>
          </w:p>
        </w:tc>
      </w:tr>
      <w:tr>
        <w:tc>
          <w:tcPr>
            <w:tcW w:type="dxa" w:w="3408"/>
            <w:vAlign w:val="center"/>
          </w:tcPr>
          <w:p>
            <w:r/>
            <w:r>
              <w:rPr>
                <w:b w:val="0"/>
                <w:sz w:val="18"/>
              </w:rPr>
              <w:t>Xylene</w:t>
            </w:r>
          </w:p>
        </w:tc>
        <w:tc>
          <w:tcPr>
            <w:tcW w:type="dxa" w:w="3408"/>
            <w:vAlign w:val="center"/>
          </w:tcPr>
          <w:p>
            <w:r/>
            <w:r>
              <w:rPr>
                <w:b w:val="0"/>
                <w:sz w:val="18"/>
              </w:rPr>
              <w:t>≥10–≤17</w:t>
            </w:r>
          </w:p>
        </w:tc>
        <w:tc>
          <w:tcPr>
            <w:tcW w:type="dxa" w:w="3408"/>
            <w:vAlign w:val="center"/>
          </w:tcPr>
          <w:p>
            <w:r/>
            <w:r>
              <w:rPr>
                <w:b w:val="0"/>
                <w:sz w:val="18"/>
              </w:rPr>
              <w:t>1330-20-7</w:t>
            </w:r>
          </w:p>
        </w:tc>
      </w:tr>
      <w:tr>
        <w:tc>
          <w:tcPr>
            <w:tcW w:type="dxa" w:w="3408"/>
            <w:vAlign w:val="center"/>
          </w:tcPr>
          <w:p>
            <w:r/>
            <w:r>
              <w:rPr>
                <w:b w:val="0"/>
                <w:sz w:val="18"/>
              </w:rPr>
              <w:t>Ethylbenzene</w:t>
            </w:r>
          </w:p>
        </w:tc>
        <w:tc>
          <w:tcPr>
            <w:tcW w:type="dxa" w:w="3408"/>
            <w:vAlign w:val="center"/>
          </w:tcPr>
          <w:p>
            <w:r/>
            <w:r>
              <w:rPr>
                <w:b w:val="0"/>
                <w:sz w:val="18"/>
              </w:rPr>
              <w:t>≤5</w:t>
            </w:r>
          </w:p>
        </w:tc>
        <w:tc>
          <w:tcPr>
            <w:tcW w:type="dxa" w:w="3408"/>
            <w:vAlign w:val="center"/>
          </w:tcPr>
          <w:p>
            <w:r/>
            <w:r>
              <w:rPr>
                <w:b w:val="0"/>
                <w:sz w:val="18"/>
              </w:rPr>
              <w:t>100-41-4</w:t>
            </w:r>
          </w:p>
        </w:tc>
      </w:tr>
      <w:tr>
        <w:tc>
          <w:tcPr>
            <w:tcW w:type="dxa" w:w="3408"/>
            <w:vAlign w:val="center"/>
          </w:tcPr>
          <w:p>
            <w:r/>
            <w:r>
              <w:rPr>
                <w:b w:val="0"/>
                <w:sz w:val="18"/>
              </w:rPr>
              <w:t>Hydrocarbons, C9, aromatic</w:t>
            </w:r>
          </w:p>
        </w:tc>
        <w:tc>
          <w:tcPr>
            <w:tcW w:type="dxa" w:w="3408"/>
            <w:vAlign w:val="center"/>
          </w:tcPr>
          <w:p>
            <w:r/>
            <w:r>
              <w:rPr>
                <w:b w:val="0"/>
                <w:sz w:val="18"/>
              </w:rPr>
              <w:t>≤2.9</w:t>
            </w:r>
          </w:p>
        </w:tc>
        <w:tc>
          <w:tcPr>
            <w:tcW w:type="dxa" w:w="3408"/>
            <w:vAlign w:val="center"/>
          </w:tcPr>
          <w:p>
            <w:r/>
            <w:r>
              <w:rPr>
                <w:b w:val="0"/>
                <w:sz w:val="18"/>
              </w:rPr>
              <w:t>64742-95-6</w:t>
            </w:r>
          </w:p>
        </w:tc>
      </w:tr>
      <w:tr>
        <w:tc>
          <w:tcPr>
            <w:tcW w:type="dxa" w:w="3408"/>
            <w:vAlign w:val="center"/>
          </w:tcPr>
          <w:p>
            <w:r/>
            <w:r>
              <w:rPr>
                <w:b w:val="0"/>
                <w:sz w:val="18"/>
              </w:rPr>
              <w:t>Fatty acids, C18-unsatd., trimers, compds. with oleylamine</w:t>
            </w:r>
          </w:p>
        </w:tc>
        <w:tc>
          <w:tcPr>
            <w:tcW w:type="dxa" w:w="3408"/>
            <w:vAlign w:val="center"/>
          </w:tcPr>
          <w:p>
            <w:r/>
            <w:r>
              <w:rPr>
                <w:b w:val="0"/>
                <w:sz w:val="18"/>
              </w:rPr>
              <w:t>≤0.3</w:t>
            </w:r>
          </w:p>
        </w:tc>
        <w:tc>
          <w:tcPr>
            <w:tcW w:type="dxa" w:w="3408"/>
            <w:vAlign w:val="center"/>
          </w:tcPr>
          <w:p>
            <w:r/>
            <w:r>
              <w:rPr>
                <w:b w:val="0"/>
                <w:sz w:val="18"/>
              </w:rPr>
              <w:t>147900-93-4</w:t>
            </w:r>
          </w:p>
        </w:tc>
      </w:tr>
      <w:tr>
        <w:tc>
          <w:tcPr>
            <w:tcW w:type="dxa" w:w="3408"/>
            <w:vAlign w:val="center"/>
          </w:tcPr>
          <w:p>
            <w:r/>
            <w:r>
              <w:rPr>
                <w:b w:val="0"/>
                <w:sz w:val="18"/>
              </w:rPr>
              <w:t>Bis(1,2,2,6,6-pentamethyl-4-piperidyl) sebacate</w:t>
            </w:r>
          </w:p>
        </w:tc>
        <w:tc>
          <w:tcPr>
            <w:tcW w:type="dxa" w:w="3408"/>
            <w:vAlign w:val="center"/>
          </w:tcPr>
          <w:p>
            <w:r/>
            <w:r>
              <w:rPr>
                <w:b w:val="0"/>
                <w:sz w:val="18"/>
              </w:rPr>
              <w:t>≤0.3</w:t>
            </w:r>
          </w:p>
        </w:tc>
        <w:tc>
          <w:tcPr>
            <w:tcW w:type="dxa" w:w="3408"/>
            <w:vAlign w:val="center"/>
          </w:tcPr>
          <w:p>
            <w:r/>
            <w:r>
              <w:rPr>
                <w:b w:val="0"/>
                <w:sz w:val="18"/>
              </w:rPr>
              <w:t>41556-26-7</w:t>
            </w:r>
          </w:p>
        </w:tc>
      </w:tr>
      <w:tr>
        <w:tc>
          <w:tcPr>
            <w:tcW w:type="dxa" w:w="3408"/>
            <w:vAlign w:val="center"/>
          </w:tcPr>
          <w:p>
            <w:r/>
            <w:r>
              <w:rPr>
                <w:b w:val="0"/>
                <w:sz w:val="18"/>
              </w:rPr>
              <w:t>Fatty acids, tall-oil, compds. with oleylamine</w:t>
            </w:r>
          </w:p>
        </w:tc>
        <w:tc>
          <w:tcPr>
            <w:tcW w:type="dxa" w:w="3408"/>
            <w:vAlign w:val="center"/>
          </w:tcPr>
          <w:p>
            <w:r/>
            <w:r>
              <w:rPr>
                <w:b w:val="0"/>
                <w:sz w:val="18"/>
              </w:rPr>
              <w:t>≤0.3</w:t>
            </w:r>
          </w:p>
        </w:tc>
        <w:tc>
          <w:tcPr>
            <w:tcW w:type="dxa" w:w="3408"/>
            <w:vAlign w:val="center"/>
          </w:tcPr>
          <w:p>
            <w:r/>
            <w:r>
              <w:rPr>
                <w:b w:val="0"/>
                <w:sz w:val="18"/>
              </w:rPr>
              <w:t>85711-55-3</w:t>
            </w:r>
          </w:p>
        </w:tc>
      </w:tr>
      <w:tr>
        <w:tc>
          <w:tcPr>
            <w:tcW w:type="dxa" w:w="3408"/>
            <w:vAlign w:val="center"/>
          </w:tcPr>
          <w:p>
            <w:r/>
            <w:r>
              <w:rPr>
                <w:b w:val="0"/>
                <w:sz w:val="18"/>
              </w:rPr>
              <w:t>2-Hydroxyethyl methacrylate</w:t>
            </w:r>
          </w:p>
        </w:tc>
        <w:tc>
          <w:tcPr>
            <w:tcW w:type="dxa" w:w="3408"/>
            <w:vAlign w:val="center"/>
          </w:tcPr>
          <w:p>
            <w:r/>
            <w:r>
              <w:rPr>
                <w:b w:val="0"/>
                <w:sz w:val="18"/>
              </w:rPr>
              <w:t>≤0.3</w:t>
            </w:r>
          </w:p>
        </w:tc>
        <w:tc>
          <w:tcPr>
            <w:tcW w:type="dxa" w:w="3408"/>
            <w:vAlign w:val="center"/>
          </w:tcPr>
          <w:p>
            <w:r/>
            <w:r>
              <w:rPr>
                <w:b w:val="0"/>
                <w:sz w:val="18"/>
              </w:rPr>
              <w:t>868-77-9</w:t>
            </w:r>
          </w:p>
        </w:tc>
      </w:tr>
      <w:tr>
        <w:tc>
          <w:tcPr>
            <w:tcW w:type="dxa" w:w="3408"/>
            <w:vAlign w:val="center"/>
          </w:tcPr>
          <w:p>
            <w:r/>
            <w:r>
              <w:rPr>
                <w:b w:val="0"/>
                <w:sz w:val="18"/>
              </w:rPr>
              <w:t>Methyl silicone</w:t>
            </w:r>
          </w:p>
        </w:tc>
        <w:tc>
          <w:tcPr>
            <w:tcW w:type="dxa" w:w="3408"/>
            <w:vAlign w:val="center"/>
          </w:tcPr>
          <w:p>
            <w:r/>
            <w:r>
              <w:rPr>
                <w:b w:val="0"/>
                <w:sz w:val="18"/>
              </w:rPr>
              <w:t>&gt;20</w:t>
            </w:r>
          </w:p>
        </w:tc>
        <w:tc>
          <w:tcPr>
            <w:tcW w:type="dxa" w:w="3408"/>
            <w:vAlign w:val="center"/>
          </w:tcPr>
          <w:p>
            <w:r/>
            <w:r>
              <w:rPr>
                <w:b w:val="0"/>
                <w:sz w:val="18"/>
              </w:rPr>
              <w:t>68988-56-7</w:t>
            </w:r>
          </w:p>
        </w:tc>
      </w:tr>
    </w:tbl>
    <w:p>
      <w:r>
        <w:t>There are no additional ingredients present which, within the current knowledge of the supplier and in the concentrations applicable, are classified as hazardous to health or the environment and hence require reporting in this section. Occupational exposure limits, if available, are listed in Section 8.</w:t>
      </w:r>
    </w:p>
    <w:p>
      <w:pPr>
        <w:pStyle w:val="Heading1"/>
      </w:pPr>
      <w:r>
        <w:t>4. FIRST-AID MEASURES</w:t>
      </w:r>
    </w:p>
    <w:p>
      <w:pPr>
        <w:pStyle w:val="ListNumber"/>
      </w:pPr>
      <w:r>
        <w:t>Eye contact: Immediately flush eyes with plenty of water, lifting upper and lower eyelids. Remove contact lenses if present and easy to do. Continue rinsing for at least 10 minutes. Get medical attention.</w:t>
      </w:r>
    </w:p>
    <w:p>
      <w:pPr>
        <w:pStyle w:val="ListNumber"/>
      </w:pPr>
      <w:r>
        <w:t>Inhalation: Remove victim to fresh air and keep at rest in a position comfortable for breathing. If symptoms persist, call a poison center or physician.</w:t>
      </w:r>
    </w:p>
    <w:p>
      <w:pPr>
        <w:pStyle w:val="ListNumber"/>
      </w:pPr>
      <w:r>
        <w:t>Skin contact: Wash with plenty of soap and water. Remove contaminated clothing and shoes. If irritation or rash occurs, get medical attention. Wash clothing before reuse.</w:t>
      </w:r>
    </w:p>
    <w:p>
      <w:pPr>
        <w:pStyle w:val="ListNumber"/>
      </w:pPr>
      <w:r>
        <w:t>Ingestion: Rinse mouth with water. Do not induce vomiting unless directed by medical personnel. Get medical attention if adverse effects persist or are severe. Never give anything by mouth to an unconscious person.</w:t>
      </w:r>
    </w:p>
    <w:p>
      <w:pPr>
        <w:pStyle w:val="Heading1"/>
      </w:pPr>
      <w:r>
        <w:t>5. FIRE-FIGHTING MEASURES</w:t>
      </w:r>
    </w:p>
    <w:p>
      <w:pPr>
        <w:pStyle w:val="ListBullet"/>
      </w:pPr>
      <w:r>
        <w:t>Suitable extinguishing media: dry chemical, CO₂, water spray (fog), or foam.</w:t>
      </w:r>
    </w:p>
    <w:p>
      <w:pPr>
        <w:pStyle w:val="ListBullet"/>
      </w:pPr>
      <w:r>
        <w:t>Unsuitable extinguishing media: do not use water jet.</w:t>
      </w:r>
    </w:p>
    <w:p>
      <w:pPr>
        <w:pStyle w:val="ListBullet"/>
      </w:pPr>
      <w:r>
        <w:t>Specific hazards: flammable liquid and vapour; containers may burst when heated.</w:t>
      </w:r>
    </w:p>
    <w:p>
      <w:pPr>
        <w:pStyle w:val="ListBullet"/>
      </w:pPr>
      <w:r>
        <w:t>Fire-fighters should wear appropriate protective equipment and self-contained breathing apparatus (SCBA).</w:t>
      </w:r>
    </w:p>
    <w:p>
      <w:pPr>
        <w:pStyle w:val="Heading1"/>
      </w:pPr>
      <w:r>
        <w:t>6. ACCIDENTAL RELEASE MEASURES</w:t>
      </w:r>
    </w:p>
    <w:p>
      <w:pPr>
        <w:pStyle w:val="ListBullet"/>
      </w:pPr>
      <w:r>
        <w:t>Evacuate surrounding areas and keep unnecessary personnel away. Shut off all ignition sources.</w:t>
      </w:r>
    </w:p>
    <w:p>
      <w:pPr>
        <w:pStyle w:val="ListBullet"/>
      </w:pPr>
      <w:r>
        <w:t>Avoid breathing vapour or mist. Provide adequate ventilation and use appropriate PPE.</w:t>
      </w:r>
    </w:p>
    <w:p>
      <w:pPr>
        <w:pStyle w:val="ListBullet"/>
      </w:pPr>
      <w:r>
        <w:t>Avoid dispersal to soil, waterways, drains, and sewers. Inform relevant authorities if environmental pollution occurs.</w:t>
      </w:r>
    </w:p>
    <w:p>
      <w:pPr>
        <w:pStyle w:val="ListBullet"/>
      </w:pPr>
      <w:r>
        <w:t>Contain and collect spillage with non-combustible absorbent material such as sand, earth, vermiculite, or diatomaceous earth. Dispose via a licensed waste disposal contractor.</w:t>
      </w:r>
    </w:p>
    <w:p>
      <w:pPr>
        <w:pStyle w:val="Heading1"/>
      </w:pPr>
      <w:r>
        <w:t>7. HANDLING AND STORAGE</w:t>
      </w:r>
    </w:p>
    <w:p>
      <w:pPr>
        <w:pStyle w:val="ListBullet"/>
      </w:pPr>
      <w:r>
        <w:t>Use only with adequate ventilation. Avoid contact with eyes, skin, and clothing. Avoid breathing vapour or mist.</w:t>
      </w:r>
    </w:p>
    <w:p>
      <w:pPr>
        <w:pStyle w:val="ListBullet"/>
      </w:pPr>
      <w:r>
        <w:t>Store in the original container, tightly closed, away from heat, sparks, open flame, oxidizing materials, food, and drink.</w:t>
      </w:r>
    </w:p>
    <w:p>
      <w:pPr>
        <w:pStyle w:val="ListBullet"/>
      </w:pPr>
      <w:r>
        <w:t>Store in a dry, cool, well-ventilated area protected from direct sunlight. Keep containers upright to prevent leakage.</w:t>
      </w:r>
    </w:p>
    <w:p>
      <w:pPr>
        <w:pStyle w:val="Heading1"/>
      </w:pPr>
      <w:r>
        <w:t>8. EXPOSURE CONTROLS / PERSONAL PROTECTION</w:t>
      </w:r>
    </w:p>
    <w:p>
      <w:pPr>
        <w:pStyle w:val="ListBullet"/>
      </w:pPr>
      <w:r>
        <w:t>Use process enclosures, local exhaust ventilation, or other engineering controls to keep exposure below recommended or statutory limits.</w:t>
      </w:r>
    </w:p>
    <w:p>
      <w:pPr>
        <w:pStyle w:val="ListBullet"/>
      </w:pPr>
      <w:r>
        <w:t>Wash hands, forearms, and face thoroughly after handling and before eating, smoking, or using the lavatory.</w:t>
      </w:r>
    </w:p>
    <w:p>
      <w:pPr>
        <w:pStyle w:val="ListBullet"/>
      </w:pPr>
      <w:r>
        <w:t>Eye/face protection: safety eyewear complying with EN166 when risk assessment indicates it is necessary.</w:t>
      </w:r>
    </w:p>
    <w:p>
      <w:pPr>
        <w:pStyle w:val="ListBullet"/>
      </w:pPr>
      <w:r>
        <w:t>Hand protection: wear suitable chemical-resistant gloves tested to EN374.</w:t>
      </w:r>
    </w:p>
    <w:p>
      <w:pPr>
        <w:pStyle w:val="ListBullet"/>
      </w:pPr>
      <w:r>
        <w:t>Body protection and respiratory protection should be selected based on task, exposure potential, and applicable standards.</w:t>
      </w:r>
    </w:p>
    <w:p>
      <w:pPr>
        <w:pStyle w:val="Heading1"/>
      </w:pPr>
      <w:r>
        <w:t>9. PHYSICAL AND CHEMICAL PROPERTIES</w:t>
      </w:r>
    </w:p>
    <w:tbl>
      <w:tblPr>
        <w:tblStyle w:val="TableGrid"/>
        <w:tblW w:type="auto" w:w="0"/>
        <w:jc w:val="center"/>
        <w:tblLook w:firstColumn="1" w:firstRow="1" w:lastColumn="0" w:lastRow="0" w:noHBand="0" w:noVBand="1" w:val="04A0"/>
      </w:tblPr>
      <w:tblGrid>
        <w:gridCol w:w="5112"/>
        <w:gridCol w:w="5112"/>
      </w:tblGrid>
      <w:tr>
        <w:tc>
          <w:tcPr>
            <w:tcW w:type="dxa" w:w="5112"/>
            <w:vAlign w:val="center"/>
          </w:tcPr>
          <w:p>
            <w:r/>
            <w:r>
              <w:rPr>
                <w:b/>
                <w:sz w:val="18"/>
              </w:rPr>
              <w:t>Physical State</w:t>
            </w:r>
          </w:p>
        </w:tc>
        <w:tc>
          <w:tcPr>
            <w:tcW w:type="dxa" w:w="5112"/>
            <w:vAlign w:val="center"/>
          </w:tcPr>
          <w:p>
            <w:r/>
            <w:r>
              <w:rPr>
                <w:b w:val="0"/>
                <w:sz w:val="18"/>
              </w:rPr>
              <w:t>Liquid</w:t>
            </w:r>
          </w:p>
        </w:tc>
      </w:tr>
      <w:tr>
        <w:tc>
          <w:tcPr>
            <w:tcW w:type="dxa" w:w="5112"/>
            <w:vAlign w:val="center"/>
          </w:tcPr>
          <w:p>
            <w:r/>
            <w:r>
              <w:rPr>
                <w:b/>
                <w:sz w:val="18"/>
              </w:rPr>
              <w:t>Colour</w:t>
            </w:r>
          </w:p>
        </w:tc>
        <w:tc>
          <w:tcPr>
            <w:tcW w:type="dxa" w:w="5112"/>
            <w:vAlign w:val="center"/>
          </w:tcPr>
          <w:p>
            <w:r/>
            <w:r>
              <w:rPr>
                <w:b w:val="0"/>
                <w:sz w:val="18"/>
              </w:rPr>
              <w:t>Various colours</w:t>
            </w:r>
          </w:p>
        </w:tc>
      </w:tr>
      <w:tr>
        <w:tc>
          <w:tcPr>
            <w:tcW w:type="dxa" w:w="5112"/>
            <w:vAlign w:val="center"/>
          </w:tcPr>
          <w:p>
            <w:r/>
            <w:r>
              <w:rPr>
                <w:b/>
                <w:sz w:val="18"/>
              </w:rPr>
              <w:t>Odour</w:t>
            </w:r>
          </w:p>
        </w:tc>
        <w:tc>
          <w:tcPr>
            <w:tcW w:type="dxa" w:w="5112"/>
            <w:vAlign w:val="center"/>
          </w:tcPr>
          <w:p>
            <w:r/>
            <w:r>
              <w:rPr>
                <w:b w:val="0"/>
                <w:sz w:val="18"/>
              </w:rPr>
              <w:t>Characteristic</w:t>
            </w:r>
          </w:p>
        </w:tc>
      </w:tr>
      <w:tr>
        <w:tc>
          <w:tcPr>
            <w:tcW w:type="dxa" w:w="5112"/>
            <w:vAlign w:val="center"/>
          </w:tcPr>
          <w:p>
            <w:r/>
            <w:r>
              <w:rPr>
                <w:b/>
                <w:sz w:val="18"/>
              </w:rPr>
              <w:t>pH</w:t>
            </w:r>
          </w:p>
        </w:tc>
        <w:tc>
          <w:tcPr>
            <w:tcW w:type="dxa" w:w="5112"/>
            <w:vAlign w:val="center"/>
          </w:tcPr>
          <w:p>
            <w:r/>
            <w:r>
              <w:rPr>
                <w:b w:val="0"/>
                <w:sz w:val="18"/>
              </w:rPr>
              <w:t>Not applicable</w:t>
            </w:r>
          </w:p>
        </w:tc>
      </w:tr>
      <w:tr>
        <w:tc>
          <w:tcPr>
            <w:tcW w:type="dxa" w:w="5112"/>
            <w:vAlign w:val="center"/>
          </w:tcPr>
          <w:p>
            <w:r/>
            <w:r>
              <w:rPr>
                <w:b/>
                <w:sz w:val="18"/>
              </w:rPr>
              <w:t>Boiling Point</w:t>
            </w:r>
          </w:p>
        </w:tc>
        <w:tc>
          <w:tcPr>
            <w:tcW w:type="dxa" w:w="5112"/>
            <w:vAlign w:val="center"/>
          </w:tcPr>
          <w:p>
            <w:r/>
            <w:r>
              <w:rPr>
                <w:b w:val="0"/>
                <w:sz w:val="18"/>
              </w:rPr>
              <w:t>Lowest known value: 126°C (n-butyl acetate); weighted average: 132.81°C</w:t>
            </w:r>
          </w:p>
        </w:tc>
      </w:tr>
      <w:tr>
        <w:tc>
          <w:tcPr>
            <w:tcW w:type="dxa" w:w="5112"/>
            <w:vAlign w:val="center"/>
          </w:tcPr>
          <w:p>
            <w:r/>
            <w:r>
              <w:rPr>
                <w:b/>
                <w:sz w:val="18"/>
              </w:rPr>
              <w:t>Flash Point</w:t>
            </w:r>
          </w:p>
        </w:tc>
        <w:tc>
          <w:tcPr>
            <w:tcW w:type="dxa" w:w="5112"/>
            <w:vAlign w:val="center"/>
          </w:tcPr>
          <w:p>
            <w:r/>
            <w:r>
              <w:rPr>
                <w:b w:val="0"/>
                <w:sz w:val="18"/>
              </w:rPr>
              <w:t>Closed cup: 26°C</w:t>
            </w:r>
          </w:p>
        </w:tc>
      </w:tr>
      <w:tr>
        <w:tc>
          <w:tcPr>
            <w:tcW w:type="dxa" w:w="5112"/>
            <w:vAlign w:val="center"/>
          </w:tcPr>
          <w:p>
            <w:r/>
            <w:r>
              <w:rPr>
                <w:b/>
                <w:sz w:val="18"/>
              </w:rPr>
              <w:t>Explosive Limits</w:t>
            </w:r>
          </w:p>
        </w:tc>
        <w:tc>
          <w:tcPr>
            <w:tcW w:type="dxa" w:w="5112"/>
            <w:vAlign w:val="center"/>
          </w:tcPr>
          <w:p>
            <w:r/>
            <w:r>
              <w:rPr>
                <w:b w:val="0"/>
                <w:sz w:val="18"/>
              </w:rPr>
              <w:t>0.8–7.6%</w:t>
            </w:r>
          </w:p>
        </w:tc>
      </w:tr>
      <w:tr>
        <w:tc>
          <w:tcPr>
            <w:tcW w:type="dxa" w:w="5112"/>
            <w:vAlign w:val="center"/>
          </w:tcPr>
          <w:p>
            <w:r/>
            <w:r>
              <w:rPr>
                <w:b/>
                <w:sz w:val="18"/>
              </w:rPr>
              <w:t>Relative Density</w:t>
            </w:r>
          </w:p>
        </w:tc>
        <w:tc>
          <w:tcPr>
            <w:tcW w:type="dxa" w:w="5112"/>
            <w:vAlign w:val="center"/>
          </w:tcPr>
          <w:p>
            <w:r/>
            <w:r>
              <w:rPr>
                <w:b w:val="0"/>
                <w:sz w:val="18"/>
              </w:rPr>
              <w:t>1.071 to 1.294 g/cm³</w:t>
            </w:r>
          </w:p>
        </w:tc>
      </w:tr>
      <w:tr>
        <w:tc>
          <w:tcPr>
            <w:tcW w:type="dxa" w:w="5112"/>
            <w:vAlign w:val="center"/>
          </w:tcPr>
          <w:p>
            <w:r/>
            <w:r>
              <w:rPr>
                <w:b/>
                <w:sz w:val="18"/>
              </w:rPr>
              <w:t>Solubility</w:t>
            </w:r>
          </w:p>
        </w:tc>
        <w:tc>
          <w:tcPr>
            <w:tcW w:type="dxa" w:w="5112"/>
            <w:vAlign w:val="center"/>
          </w:tcPr>
          <w:p>
            <w:r/>
            <w:r>
              <w:rPr>
                <w:b w:val="0"/>
                <w:sz w:val="18"/>
              </w:rPr>
              <w:t>Insoluble in cold and hot water</w:t>
            </w:r>
          </w:p>
        </w:tc>
      </w:tr>
      <w:tr>
        <w:tc>
          <w:tcPr>
            <w:tcW w:type="dxa" w:w="5112"/>
            <w:vAlign w:val="center"/>
          </w:tcPr>
          <w:p>
            <w:r/>
            <w:r>
              <w:rPr>
                <w:b/>
                <w:sz w:val="18"/>
              </w:rPr>
              <w:t>Viscosity</w:t>
            </w:r>
          </w:p>
        </w:tc>
        <w:tc>
          <w:tcPr>
            <w:tcW w:type="dxa" w:w="5112"/>
            <w:vAlign w:val="center"/>
          </w:tcPr>
          <w:p>
            <w:r/>
            <w:r>
              <w:rPr>
                <w:b w:val="0"/>
                <w:sz w:val="18"/>
              </w:rPr>
              <w:t>Kinematic (40°C): &gt;20.5 cSt</w:t>
            </w:r>
          </w:p>
        </w:tc>
      </w:tr>
    </w:tbl>
    <w:p>
      <w:pPr>
        <w:pStyle w:val="Heading1"/>
      </w:pPr>
      <w:r>
        <w:t>10. STABILITY AND REACTIVITY</w:t>
      </w:r>
    </w:p>
    <w:p>
      <w:pPr>
        <w:pStyle w:val="ListBullet"/>
      </w:pPr>
      <w:r>
        <w:t>Reactivity: no specific test data available for this product or its ingredients.</w:t>
      </w:r>
    </w:p>
    <w:p>
      <w:pPr>
        <w:pStyle w:val="ListBullet"/>
      </w:pPr>
      <w:r>
        <w:t>Chemical stability: the product is stable.</w:t>
      </w:r>
    </w:p>
    <w:p>
      <w:pPr>
        <w:pStyle w:val="ListBullet"/>
      </w:pPr>
      <w:r>
        <w:t>Possibility of hazardous reactions: under normal storage and use, hazardous reactions will not occur.</w:t>
      </w:r>
    </w:p>
    <w:p>
      <w:pPr>
        <w:pStyle w:val="ListBullet"/>
      </w:pPr>
      <w:r>
        <w:t>Conditions to avoid: all possible sources of ignition. Do not pressurise, cut, weld, braze, solder, drill, grind, or expose containers to heat or ignition sources.</w:t>
      </w:r>
    </w:p>
    <w:p>
      <w:pPr>
        <w:pStyle w:val="ListBullet"/>
      </w:pPr>
      <w:r>
        <w:t>Incompatible materials: oxidising agents, strong alkalis, and strong acids.</w:t>
      </w:r>
    </w:p>
    <w:p>
      <w:pPr>
        <w:pStyle w:val="ListBullet"/>
      </w:pPr>
      <w:r>
        <w:t>Hazardous decomposition products: under normal storage and use, hazardous decomposition products should not be produced.</w:t>
      </w:r>
    </w:p>
    <w:p>
      <w:pPr>
        <w:pStyle w:val="Heading1"/>
      </w:pPr>
      <w:r>
        <w:t>11. TOXICOLOGICAL INFORMATION</w:t>
      </w:r>
    </w:p>
    <w:p>
      <w:pPr>
        <w:pStyle w:val="ListBullet"/>
      </w:pPr>
      <w:r>
        <w:t>Information on toxicological effects: refer to product ingredient data and exposure limits.</w:t>
      </w:r>
    </w:p>
    <w:p>
      <w:pPr>
        <w:pStyle w:val="ListBullet"/>
      </w:pPr>
      <w:r>
        <w:t>Potential acute health effects include irritation, sensitisation, drowsiness, dizziness, or respiratory irritation depending on exposure route and product base.</w:t>
      </w:r>
    </w:p>
    <w:p>
      <w:pPr>
        <w:pStyle w:val="ListBullet"/>
      </w:pPr>
      <w:r>
        <w:t>No known significant effects or critical hazards are reported where data is unavailable.</w:t>
      </w:r>
    </w:p>
    <w:p>
      <w:pPr>
        <w:pStyle w:val="Heading1"/>
      </w:pPr>
      <w:r>
        <w:t>12. ECOLOGICAL INFORMATION</w:t>
      </w:r>
    </w:p>
    <w:p>
      <w:pPr>
        <w:pStyle w:val="ListBullet"/>
      </w:pPr>
      <w:r>
        <w:t>Avoid release to the environment.</w:t>
      </w:r>
    </w:p>
    <w:p>
      <w:pPr>
        <w:pStyle w:val="ListBullet"/>
      </w:pPr>
      <w:r>
        <w:t>Toxicity, persistence/degradability, bioaccumulative potential, and mobility in soil vary by ingredient.</w:t>
      </w:r>
    </w:p>
    <w:p>
      <w:pPr>
        <w:pStyle w:val="ListBullet"/>
      </w:pPr>
      <w:r>
        <w:t>Other adverse effects: no known significant effects or critical hazards.</w:t>
      </w:r>
    </w:p>
    <w:p>
      <w:pPr>
        <w:pStyle w:val="Heading1"/>
      </w:pPr>
      <w:r>
        <w:t>13. DISPOSAL CONSIDERATIONS</w:t>
      </w:r>
    </w:p>
    <w:p>
      <w:r>
        <w:t>The generation of waste should be avoided or minimised wherever possible. Disposal of this product, solutions, by-products, and packaging should comply with environmental protection and waste disposal legislation and local authority requirements. Do not allow to enter drains or watercourses. Material and/or container must be disposed of as hazardous waste.</w:t>
      </w:r>
    </w:p>
    <w:p>
      <w:pPr>
        <w:pStyle w:val="Heading1"/>
      </w:pPr>
      <w:r>
        <w:t>14. TRANSPORT INFORMATION</w:t>
      </w:r>
    </w:p>
    <w:tbl>
      <w:tblPr>
        <w:tblStyle w:val="TableGrid"/>
        <w:tblW w:type="auto" w:w="0"/>
        <w:jc w:val="center"/>
        <w:tblLook w:firstColumn="1" w:firstRow="1" w:lastColumn="0" w:lastRow="0" w:noHBand="0" w:noVBand="1" w:val="04A0"/>
      </w:tblPr>
      <w:tblGrid>
        <w:gridCol w:w="2556"/>
        <w:gridCol w:w="2556"/>
        <w:gridCol w:w="2556"/>
        <w:gridCol w:w="2556"/>
      </w:tblGrid>
      <w:tr>
        <w:tc>
          <w:tcPr>
            <w:tcW w:type="dxa" w:w="2556"/>
            <w:vAlign w:val="center"/>
            <w:shd w:fill="D9EAF7"/>
          </w:tcPr>
          <w:p>
            <w:r/>
            <w:r>
              <w:rPr>
                <w:b/>
                <w:sz w:val="18"/>
              </w:rPr>
              <w:t>Item</w:t>
            </w:r>
          </w:p>
        </w:tc>
        <w:tc>
          <w:tcPr>
            <w:tcW w:type="dxa" w:w="2556"/>
            <w:vAlign w:val="center"/>
            <w:shd w:fill="D9EAF7"/>
          </w:tcPr>
          <w:p>
            <w:r/>
            <w:r>
              <w:rPr>
                <w:b/>
                <w:sz w:val="18"/>
              </w:rPr>
              <w:t>UN</w:t>
            </w:r>
          </w:p>
        </w:tc>
        <w:tc>
          <w:tcPr>
            <w:tcW w:type="dxa" w:w="2556"/>
            <w:vAlign w:val="center"/>
            <w:shd w:fill="D9EAF7"/>
          </w:tcPr>
          <w:p>
            <w:r/>
            <w:r>
              <w:rPr>
                <w:b/>
                <w:sz w:val="18"/>
              </w:rPr>
              <w:t>IMDG</w:t>
            </w:r>
          </w:p>
        </w:tc>
        <w:tc>
          <w:tcPr>
            <w:tcW w:type="dxa" w:w="2556"/>
            <w:vAlign w:val="center"/>
            <w:shd w:fill="D9EAF7"/>
          </w:tcPr>
          <w:p>
            <w:r/>
            <w:r>
              <w:rPr>
                <w:b/>
                <w:sz w:val="18"/>
              </w:rPr>
              <w:t>IATA</w:t>
            </w:r>
          </w:p>
        </w:tc>
      </w:tr>
      <w:tr>
        <w:tc>
          <w:tcPr>
            <w:tcW w:type="dxa" w:w="2556"/>
            <w:vAlign w:val="center"/>
          </w:tcPr>
          <w:p>
            <w:r/>
            <w:r>
              <w:rPr>
                <w:b w:val="0"/>
                <w:sz w:val="18"/>
              </w:rPr>
              <w:t>UN Number</w:t>
            </w:r>
          </w:p>
        </w:tc>
        <w:tc>
          <w:tcPr>
            <w:tcW w:type="dxa" w:w="2556"/>
            <w:vAlign w:val="center"/>
          </w:tcPr>
          <w:p>
            <w:r/>
            <w:r>
              <w:rPr>
                <w:b w:val="0"/>
                <w:sz w:val="18"/>
              </w:rPr>
              <w:t>UN1263</w:t>
            </w:r>
          </w:p>
        </w:tc>
        <w:tc>
          <w:tcPr>
            <w:tcW w:type="dxa" w:w="2556"/>
            <w:vAlign w:val="center"/>
          </w:tcPr>
          <w:p>
            <w:r/>
            <w:r>
              <w:rPr>
                <w:b w:val="0"/>
                <w:sz w:val="18"/>
              </w:rPr>
              <w:t>UN1263</w:t>
            </w:r>
          </w:p>
        </w:tc>
        <w:tc>
          <w:tcPr>
            <w:tcW w:type="dxa" w:w="2556"/>
            <w:vAlign w:val="center"/>
          </w:tcPr>
          <w:p>
            <w:r/>
            <w:r>
              <w:rPr>
                <w:b w:val="0"/>
                <w:sz w:val="18"/>
              </w:rPr>
              <w:t>UN1263</w:t>
            </w:r>
          </w:p>
        </w:tc>
      </w:tr>
      <w:tr>
        <w:tc>
          <w:tcPr>
            <w:tcW w:type="dxa" w:w="2556"/>
            <w:vAlign w:val="center"/>
          </w:tcPr>
          <w:p>
            <w:r/>
            <w:r>
              <w:rPr>
                <w:b w:val="0"/>
                <w:sz w:val="18"/>
              </w:rPr>
              <w:t>UN Proper Shipping Name</w:t>
            </w:r>
          </w:p>
        </w:tc>
        <w:tc>
          <w:tcPr>
            <w:tcW w:type="dxa" w:w="2556"/>
            <w:vAlign w:val="center"/>
          </w:tcPr>
          <w:p>
            <w:r/>
            <w:r>
              <w:rPr>
                <w:b w:val="0"/>
                <w:sz w:val="18"/>
              </w:rPr>
              <w:t>Paint</w:t>
            </w:r>
          </w:p>
        </w:tc>
        <w:tc>
          <w:tcPr>
            <w:tcW w:type="dxa" w:w="2556"/>
            <w:vAlign w:val="center"/>
          </w:tcPr>
          <w:p>
            <w:r/>
            <w:r>
              <w:rPr>
                <w:b w:val="0"/>
                <w:sz w:val="18"/>
              </w:rPr>
              <w:t>Paint</w:t>
            </w:r>
          </w:p>
        </w:tc>
        <w:tc>
          <w:tcPr>
            <w:tcW w:type="dxa" w:w="2556"/>
            <w:vAlign w:val="center"/>
          </w:tcPr>
          <w:p>
            <w:r/>
            <w:r>
              <w:rPr>
                <w:b w:val="0"/>
                <w:sz w:val="18"/>
              </w:rPr>
              <w:t>Paint</w:t>
            </w:r>
          </w:p>
        </w:tc>
      </w:tr>
      <w:tr>
        <w:tc>
          <w:tcPr>
            <w:tcW w:type="dxa" w:w="2556"/>
            <w:vAlign w:val="center"/>
          </w:tcPr>
          <w:p>
            <w:r/>
            <w:r>
              <w:rPr>
                <w:b w:val="0"/>
                <w:sz w:val="18"/>
              </w:rPr>
              <w:t>Transport Hazard Class(es)</w:t>
            </w:r>
          </w:p>
        </w:tc>
        <w:tc>
          <w:tcPr>
            <w:tcW w:type="dxa" w:w="2556"/>
            <w:vAlign w:val="center"/>
          </w:tcPr>
          <w:p>
            <w:r/>
            <w:r>
              <w:rPr>
                <w:b w:val="0"/>
                <w:sz w:val="18"/>
              </w:rPr>
              <w:t>3</w:t>
            </w:r>
          </w:p>
        </w:tc>
        <w:tc>
          <w:tcPr>
            <w:tcW w:type="dxa" w:w="2556"/>
            <w:vAlign w:val="center"/>
          </w:tcPr>
          <w:p>
            <w:r/>
            <w:r>
              <w:rPr>
                <w:b w:val="0"/>
                <w:sz w:val="18"/>
              </w:rPr>
              <w:t>3</w:t>
            </w:r>
          </w:p>
        </w:tc>
        <w:tc>
          <w:tcPr>
            <w:tcW w:type="dxa" w:w="2556"/>
            <w:vAlign w:val="center"/>
          </w:tcPr>
          <w:p>
            <w:r/>
            <w:r>
              <w:rPr>
                <w:b w:val="0"/>
                <w:sz w:val="18"/>
              </w:rPr>
              <w:t>3</w:t>
            </w:r>
          </w:p>
        </w:tc>
      </w:tr>
      <w:tr>
        <w:tc>
          <w:tcPr>
            <w:tcW w:type="dxa" w:w="2556"/>
            <w:vAlign w:val="center"/>
          </w:tcPr>
          <w:p>
            <w:r/>
            <w:r>
              <w:rPr>
                <w:b w:val="0"/>
                <w:sz w:val="18"/>
              </w:rPr>
              <w:t>Packing Group</w:t>
            </w:r>
          </w:p>
        </w:tc>
        <w:tc>
          <w:tcPr>
            <w:tcW w:type="dxa" w:w="2556"/>
            <w:vAlign w:val="center"/>
          </w:tcPr>
          <w:p>
            <w:r/>
            <w:r>
              <w:rPr>
                <w:b w:val="0"/>
                <w:sz w:val="18"/>
              </w:rPr>
              <w:t>III</w:t>
            </w:r>
          </w:p>
        </w:tc>
        <w:tc>
          <w:tcPr>
            <w:tcW w:type="dxa" w:w="2556"/>
            <w:vAlign w:val="center"/>
          </w:tcPr>
          <w:p>
            <w:r/>
            <w:r>
              <w:rPr>
                <w:b w:val="0"/>
                <w:sz w:val="18"/>
              </w:rPr>
              <w:t>III</w:t>
            </w:r>
          </w:p>
        </w:tc>
        <w:tc>
          <w:tcPr>
            <w:tcW w:type="dxa" w:w="2556"/>
            <w:vAlign w:val="center"/>
          </w:tcPr>
          <w:p>
            <w:r/>
            <w:r>
              <w:rPr>
                <w:b w:val="0"/>
                <w:sz w:val="18"/>
              </w:rPr>
              <w:t>III</w:t>
            </w:r>
          </w:p>
        </w:tc>
      </w:tr>
      <w:tr>
        <w:tc>
          <w:tcPr>
            <w:tcW w:type="dxa" w:w="2556"/>
            <w:vAlign w:val="center"/>
          </w:tcPr>
          <w:p>
            <w:r/>
            <w:r>
              <w:rPr>
                <w:b w:val="0"/>
                <w:sz w:val="18"/>
              </w:rPr>
              <w:t>Environmental Hazards</w:t>
            </w:r>
          </w:p>
        </w:tc>
        <w:tc>
          <w:tcPr>
            <w:tcW w:type="dxa" w:w="2556"/>
            <w:vAlign w:val="center"/>
          </w:tcPr>
          <w:p>
            <w:r/>
            <w:r>
              <w:rPr>
                <w:b w:val="0"/>
                <w:sz w:val="18"/>
              </w:rPr>
              <w:t>No</w:t>
            </w:r>
          </w:p>
        </w:tc>
        <w:tc>
          <w:tcPr>
            <w:tcW w:type="dxa" w:w="2556"/>
            <w:vAlign w:val="center"/>
          </w:tcPr>
          <w:p>
            <w:r/>
            <w:r>
              <w:rPr>
                <w:b w:val="0"/>
                <w:sz w:val="18"/>
              </w:rPr>
              <w:t>No</w:t>
            </w:r>
          </w:p>
        </w:tc>
        <w:tc>
          <w:tcPr>
            <w:tcW w:type="dxa" w:w="2556"/>
            <w:vAlign w:val="center"/>
          </w:tcPr>
          <w:p>
            <w:r/>
            <w:r>
              <w:rPr>
                <w:b w:val="0"/>
                <w:sz w:val="18"/>
              </w:rPr>
              <w:t>No</w:t>
            </w:r>
          </w:p>
        </w:tc>
      </w:tr>
    </w:tbl>
    <w:p>
      <w:r>
        <w:t>Transport in accordance with ADR/RID, IMDG/IMO, ICAO/IATA, and national regulations. Always transport in closed containers that are upright and secure.</w:t>
      </w:r>
    </w:p>
    <w:p>
      <w:pPr>
        <w:pStyle w:val="Heading1"/>
      </w:pPr>
      <w:r>
        <w:t>15. REGULATORY INFORMATION</w:t>
      </w:r>
    </w:p>
    <w:p>
      <w:r>
        <w:t>Singapore hazardous chemicals under government control: None.</w:t>
      </w:r>
    </w:p>
    <w:p>
      <w:pPr>
        <w:pStyle w:val="Heading1"/>
      </w:pPr>
      <w:r>
        <w:t>16. OTHER INFORMATION</w:t>
      </w:r>
    </w:p>
    <w:p>
      <w:pPr>
        <w:pStyle w:val="ListBullet"/>
      </w:pPr>
      <w:r>
        <w:t>ATE = Acute Toxicity Estimate</w:t>
      </w:r>
    </w:p>
    <w:p>
      <w:pPr>
        <w:pStyle w:val="ListBullet"/>
      </w:pPr>
      <w:r>
        <w:t>BCF = Bioconcentration Factor</w:t>
      </w:r>
    </w:p>
    <w:p>
      <w:pPr>
        <w:pStyle w:val="ListBullet"/>
      </w:pPr>
      <w:r>
        <w:t>GHS = Globally Harmonized System of Classification and Labelling of Chemicals</w:t>
      </w:r>
    </w:p>
    <w:p>
      <w:pPr>
        <w:pStyle w:val="ListBullet"/>
      </w:pPr>
      <w:r>
        <w:t>IATA = International Air Transport Association</w:t>
      </w:r>
    </w:p>
    <w:p>
      <w:pPr>
        <w:pStyle w:val="ListBullet"/>
      </w:pPr>
      <w:r>
        <w:t>IBC = Intermediate Bulk Container</w:t>
      </w:r>
    </w:p>
    <w:p>
      <w:pPr>
        <w:pStyle w:val="ListBullet"/>
      </w:pPr>
      <w:r>
        <w:t>IMDG = International Maritime Dangerous Goods</w:t>
      </w:r>
    </w:p>
    <w:p>
      <w:pPr>
        <w:pStyle w:val="ListBullet"/>
      </w:pPr>
      <w:r>
        <w:t>LogPow = logarithm of the octanol/water partition coefficient</w:t>
      </w:r>
    </w:p>
    <w:p>
      <w:pPr>
        <w:pStyle w:val="ListBullet"/>
      </w:pPr>
      <w:r>
        <w:t>MARPOL = International Convention for the Prevention of Pollution from Ships</w:t>
      </w:r>
    </w:p>
    <w:p>
      <w:pPr>
        <w:pStyle w:val="ListBullet"/>
      </w:pPr>
      <w:r>
        <w:t>UN = United Nations</w:t>
      </w:r>
    </w:p>
    <w:p>
      <w:pPr>
        <w:pStyle w:val="Heading1"/>
      </w:pPr>
      <w:r>
        <w:t>NOTES</w:t>
      </w:r>
    </w:p>
    <w:p>
      <w:r>
        <w:t>PT. INDOWIJAYA SAKTI TEGUH has a responsibility to take reasonable care for our own health and safety and the health and safety of others who may be affected by our acts or omissions. This MSDS contains health and safety information for the product and guidance on safe handling and use in the workplace.</w:t>
      </w:r>
    </w:p>
    <w:p>
      <w:r>
        <w:t>All information given is to the best of our knowledge. Because conditions of end use cannot be anticipated or controlled, each user must determine safe handling and usage by reviewing this MSDS before use. Full-scale testing and product performance are the responsibility of the end user. For further information or clarification, please contact PT. INDOWIJAYA SAKTI TEGUH.</w:t>
      </w:r>
    </w:p>
    <w:sectPr w:rsidR="00FC693F" w:rsidRPr="0006063C" w:rsidSect="00034616">
      <w:footerReference w:type="default" r:id="rId9"/>
      <w:pgSz w:w="12240" w:h="15840"/>
      <w:pgMar w:top="864" w:right="1008" w:bottom="864"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PUFFIN AEROSILCOAT BASE A MSDS</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b/>
      <w:bCs/>
      <w:color w:val="365F91" w:themeColor="accent1" w:themeShade="BF"/>
      <w:sz w:val="24"/>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b/>
      <w:bCs/>
      <w:color w:val="4F81BD" w:themeColor="accent1"/>
      <w:sz w:val="20"/>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rial" w:hAnsi="Arial"/>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